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8" w:rsidRPr="00533776" w:rsidRDefault="00EB6458" w:rsidP="00111F8B">
      <w:pPr>
        <w:jc w:val="center"/>
        <w:rPr>
          <w:b/>
          <w:sz w:val="28"/>
          <w:szCs w:val="28"/>
          <w:u w:val="single"/>
          <w:lang w:val="en-GB"/>
        </w:rPr>
      </w:pPr>
      <w:r w:rsidRPr="00533776">
        <w:rPr>
          <w:b/>
          <w:sz w:val="28"/>
          <w:szCs w:val="28"/>
          <w:u w:val="single"/>
          <w:lang w:val="en-GB"/>
        </w:rPr>
        <w:t>RRI-Responsible Research and Innovation</w:t>
      </w:r>
    </w:p>
    <w:p w:rsidR="00533776" w:rsidRPr="00533776" w:rsidRDefault="00533776" w:rsidP="00533776">
      <w:pPr>
        <w:jc w:val="center"/>
        <w:rPr>
          <w:b/>
          <w:lang w:val="en-GB"/>
        </w:rPr>
      </w:pPr>
      <w:r w:rsidRPr="00533776">
        <w:rPr>
          <w:b/>
          <w:lang w:val="en-GB"/>
        </w:rPr>
        <w:t xml:space="preserve">RRI in Practice, a handout for </w:t>
      </w:r>
      <w:r w:rsidR="00A31ADD">
        <w:rPr>
          <w:b/>
          <w:lang w:val="en-GB"/>
        </w:rPr>
        <w:t>F</w:t>
      </w:r>
      <w:r w:rsidRPr="00533776">
        <w:rPr>
          <w:b/>
          <w:lang w:val="en-GB"/>
        </w:rPr>
        <w:t xml:space="preserve">aculty 2 </w:t>
      </w:r>
      <w:r w:rsidR="00A31ADD">
        <w:rPr>
          <w:b/>
          <w:lang w:val="en-GB"/>
        </w:rPr>
        <w:t>of</w:t>
      </w:r>
      <w:r w:rsidRPr="00533776">
        <w:rPr>
          <w:b/>
          <w:lang w:val="en-GB"/>
        </w:rPr>
        <w:t xml:space="preserve"> the University of Bremen</w:t>
      </w:r>
    </w:p>
    <w:p w:rsidR="00533776" w:rsidRDefault="00533776">
      <w:pPr>
        <w:rPr>
          <w:rStyle w:val="tlid-translation"/>
          <w:lang w:val="en-GB"/>
        </w:rPr>
      </w:pPr>
      <w:r w:rsidRPr="00533776">
        <w:rPr>
          <w:rStyle w:val="tlid-translation"/>
          <w:lang w:val="en-GB"/>
        </w:rPr>
        <w:t xml:space="preserve">Responsible research </w:t>
      </w:r>
      <w:r>
        <w:rPr>
          <w:rStyle w:val="tlid-translation"/>
          <w:lang w:val="en-GB"/>
        </w:rPr>
        <w:t xml:space="preserve">and innovation </w:t>
      </w:r>
      <w:r w:rsidRPr="00533776">
        <w:rPr>
          <w:rStyle w:val="tlid-translation"/>
          <w:lang w:val="en-GB"/>
        </w:rPr>
        <w:t>also involves making its research findings accessible to the scientific community, but equally to society.</w:t>
      </w:r>
      <w:r>
        <w:rPr>
          <w:rStyle w:val="tlid-translation"/>
          <w:lang w:val="en-GB"/>
        </w:rPr>
        <w:t xml:space="preserve"> </w:t>
      </w:r>
    </w:p>
    <w:p w:rsidR="002F62C4" w:rsidRPr="008F2490" w:rsidRDefault="0084129F">
      <w:pPr>
        <w:rPr>
          <w:b/>
          <w:sz w:val="24"/>
          <w:szCs w:val="24"/>
          <w:u w:val="single"/>
          <w:lang w:val="en-GB"/>
        </w:rPr>
      </w:pPr>
      <w:r>
        <w:rPr>
          <w:b/>
          <w:noProof/>
          <w:sz w:val="24"/>
          <w:szCs w:val="24"/>
          <w:u w:val="single"/>
          <w:lang w:eastAsia="de-DE"/>
        </w:rPr>
        <w:drawing>
          <wp:anchor distT="0" distB="0" distL="114300" distR="114300" simplePos="0" relativeHeight="251658240" behindDoc="0" locked="0" layoutInCell="1" allowOverlap="1">
            <wp:simplePos x="0" y="0"/>
            <wp:positionH relativeFrom="margin">
              <wp:posOffset>4996180</wp:posOffset>
            </wp:positionH>
            <wp:positionV relativeFrom="margin">
              <wp:posOffset>1357630</wp:posOffset>
            </wp:positionV>
            <wp:extent cx="942975" cy="1266825"/>
            <wp:effectExtent l="19050" t="0" r="0" b="0"/>
            <wp:wrapSquare wrapText="bothSides"/>
            <wp:docPr id="12" name="Objek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12168" cy="1916832"/>
                      <a:chOff x="1835696" y="1700808"/>
                      <a:chExt cx="1512168" cy="1916832"/>
                    </a:xfrm>
                  </a:grpSpPr>
                  <a:grpSp>
                    <a:nvGrpSpPr>
                      <a:cNvPr id="10" name="Gruppieren 9"/>
                      <a:cNvGrpSpPr/>
                    </a:nvGrpSpPr>
                    <a:grpSpPr>
                      <a:xfrm>
                        <a:off x="1835696" y="1700808"/>
                        <a:ext cx="1512168" cy="1916832"/>
                        <a:chOff x="1835696" y="1700808"/>
                        <a:chExt cx="1512168" cy="1916832"/>
                      </a:xfrm>
                    </a:grpSpPr>
                    <a:pic>
                      <a:nvPicPr>
                        <a:cNvPr id="8" name="Grafik 7" descr="History_OA_movement.jpg"/>
                        <a:cNvPicPr>
                          <a:picLocks noChangeAspect="1"/>
                        </a:cNvPicPr>
                      </a:nvPicPr>
                      <a:blipFill>
                        <a:blip r:embed="rId7"/>
                        <a:stretch>
                          <a:fillRect/>
                        </a:stretch>
                      </a:blipFill>
                      <a:spPr>
                        <a:xfrm>
                          <a:off x="1835696" y="1700808"/>
                          <a:ext cx="1476000" cy="1916832"/>
                        </a:xfrm>
                        <a:prstGeom prst="rect">
                          <a:avLst/>
                        </a:prstGeom>
                      </a:spPr>
                    </a:pic>
                    <a:sp>
                      <a:nvSpPr>
                        <a:cNvPr id="9" name="Textfeld 8"/>
                        <a:cNvSpPr txBox="1"/>
                      </a:nvSpPr>
                      <a:spPr>
                        <a:xfrm>
                          <a:off x="2195736" y="3239398"/>
                          <a:ext cx="1152128" cy="26161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100" dirty="0" smtClean="0"/>
                              <a:t>OA Movement</a:t>
                            </a:r>
                            <a:endParaRPr lang="de-DE" sz="1100" dirty="0"/>
                          </a:p>
                        </a:txBody>
                        <a:useSpRect/>
                      </a:txSp>
                    </a:sp>
                  </a:grpSp>
                </lc:lockedCanvas>
              </a:graphicData>
            </a:graphic>
          </wp:anchor>
        </w:drawing>
      </w:r>
      <w:r w:rsidR="00EB6458" w:rsidRPr="008F2490">
        <w:rPr>
          <w:b/>
          <w:sz w:val="24"/>
          <w:szCs w:val="24"/>
          <w:u w:val="single"/>
          <w:lang w:val="en-GB"/>
        </w:rPr>
        <w:t>Open Access</w:t>
      </w:r>
    </w:p>
    <w:p w:rsidR="00533776" w:rsidRDefault="00AC2B1A" w:rsidP="002D2ED4">
      <w:pPr>
        <w:jc w:val="both"/>
        <w:rPr>
          <w:rStyle w:val="tlid-translation"/>
          <w:lang w:val="en-GB"/>
        </w:rPr>
      </w:pPr>
      <w:r>
        <w:rPr>
          <w:rStyle w:val="tlid-translation"/>
          <w:lang w:val="en-GB"/>
        </w:rPr>
        <w:t>Open a</w:t>
      </w:r>
      <w:r w:rsidR="00A31ADD">
        <w:rPr>
          <w:rStyle w:val="tlid-translation"/>
          <w:lang w:val="en-GB"/>
        </w:rPr>
        <w:t>ccess p</w:t>
      </w:r>
      <w:r w:rsidR="00533776" w:rsidRPr="00533776">
        <w:rPr>
          <w:rStyle w:val="tlid-translation"/>
          <w:lang w:val="en-GB"/>
        </w:rPr>
        <w:t xml:space="preserve">ublishing means open and free access to scientific publications via the Internet. An open access publication can be read, downloaded, printed, linked and saved by the user for free. Especially in the natural sciences, open access has become more </w:t>
      </w:r>
      <w:r w:rsidR="00A31ADD">
        <w:rPr>
          <w:rStyle w:val="tlid-translation"/>
          <w:lang w:val="en-GB"/>
        </w:rPr>
        <w:t xml:space="preserve">and more </w:t>
      </w:r>
      <w:r w:rsidR="00533776" w:rsidRPr="00533776">
        <w:rPr>
          <w:rStyle w:val="tlid-translation"/>
          <w:lang w:val="en-GB"/>
        </w:rPr>
        <w:t>important in recent years</w:t>
      </w:r>
      <w:r w:rsidR="008A1067">
        <w:rPr>
          <w:rStyle w:val="tlid-translation"/>
          <w:lang w:val="en-GB"/>
        </w:rPr>
        <w:t xml:space="preserve"> (f</w:t>
      </w:r>
      <w:r w:rsidR="00533776" w:rsidRPr="00533776">
        <w:rPr>
          <w:rStyle w:val="tlid-translation"/>
          <w:lang w:val="en-GB"/>
        </w:rPr>
        <w:t>or more information, see the QR code or the link below).</w:t>
      </w:r>
      <w:r w:rsidR="0084129F">
        <w:rPr>
          <w:rStyle w:val="tlid-translation"/>
          <w:lang w:val="en-GB"/>
        </w:rPr>
        <w:t xml:space="preserve"> </w:t>
      </w:r>
    </w:p>
    <w:p w:rsidR="00533776" w:rsidRPr="00A31ADD" w:rsidRDefault="00533776" w:rsidP="00F65823">
      <w:pPr>
        <w:rPr>
          <w:rStyle w:val="tlid-translation"/>
          <w:b/>
          <w:sz w:val="24"/>
          <w:szCs w:val="24"/>
          <w:u w:val="single"/>
          <w:lang w:val="en-GB"/>
        </w:rPr>
      </w:pPr>
      <w:r w:rsidRPr="00A31ADD">
        <w:rPr>
          <w:rStyle w:val="tlid-translation"/>
          <w:b/>
          <w:sz w:val="24"/>
          <w:szCs w:val="24"/>
          <w:u w:val="single"/>
          <w:lang w:val="en-GB"/>
        </w:rPr>
        <w:t>Anchoring Open Access in curricula for young scientists</w:t>
      </w:r>
    </w:p>
    <w:p w:rsidR="00F65823" w:rsidRPr="00F65823" w:rsidRDefault="0084129F" w:rsidP="00F65823">
      <w:pPr>
        <w:rPr>
          <w:b/>
          <w:u w:val="single"/>
          <w:lang w:val="en-US"/>
        </w:rPr>
      </w:pPr>
      <w:r>
        <w:rPr>
          <w:b/>
          <w:noProof/>
          <w:sz w:val="24"/>
          <w:szCs w:val="24"/>
          <w:u w:val="single"/>
          <w:lang w:eastAsia="de-DE"/>
        </w:rPr>
        <w:drawing>
          <wp:anchor distT="0" distB="0" distL="114300" distR="114300" simplePos="0" relativeHeight="251659264" behindDoc="0" locked="0" layoutInCell="1" allowOverlap="1">
            <wp:simplePos x="0" y="0"/>
            <wp:positionH relativeFrom="margin">
              <wp:posOffset>4996180</wp:posOffset>
            </wp:positionH>
            <wp:positionV relativeFrom="margin">
              <wp:posOffset>3100705</wp:posOffset>
            </wp:positionV>
            <wp:extent cx="942975" cy="1266825"/>
            <wp:effectExtent l="19050" t="0" r="0" b="0"/>
            <wp:wrapSquare wrapText="bothSides"/>
            <wp:docPr id="13" name="Objek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0159" cy="1872208"/>
                      <a:chOff x="3563888" y="1700808"/>
                      <a:chExt cx="1440159" cy="1872208"/>
                    </a:xfrm>
                  </a:grpSpPr>
                  <a:grpSp>
                    <a:nvGrpSpPr>
                      <a:cNvPr id="13" name="Gruppieren 12"/>
                      <a:cNvGrpSpPr/>
                    </a:nvGrpSpPr>
                    <a:grpSpPr>
                      <a:xfrm>
                        <a:off x="3563888" y="1700808"/>
                        <a:ext cx="1440159" cy="1872208"/>
                        <a:chOff x="3995936" y="1484784"/>
                        <a:chExt cx="3139429" cy="4077072"/>
                      </a:xfrm>
                    </a:grpSpPr>
                    <a:pic>
                      <a:nvPicPr>
                        <a:cNvPr id="11" name="Grafik 10" descr="OA_strategies.jpg"/>
                        <a:cNvPicPr>
                          <a:picLocks noChangeAspect="1"/>
                        </a:cNvPicPr>
                      </a:nvPicPr>
                      <a:blipFill>
                        <a:blip r:embed="rId8"/>
                        <a:stretch>
                          <a:fillRect/>
                        </a:stretch>
                      </a:blipFill>
                      <a:spPr>
                        <a:xfrm>
                          <a:off x="3995936" y="1484784"/>
                          <a:ext cx="3139429" cy="4077072"/>
                        </a:xfrm>
                        <a:prstGeom prst="rect">
                          <a:avLst/>
                        </a:prstGeom>
                      </a:spPr>
                    </a:pic>
                    <a:sp>
                      <a:nvSpPr>
                        <a:cNvPr id="12" name="Textfeld 11"/>
                        <a:cNvSpPr txBox="1"/>
                      </a:nvSpPr>
                      <a:spPr>
                        <a:xfrm>
                          <a:off x="4623822" y="4777804"/>
                          <a:ext cx="2203326" cy="569703"/>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100" dirty="0" smtClean="0"/>
                              <a:t>OA Strategies</a:t>
                            </a:r>
                            <a:endParaRPr lang="de-DE" sz="1100" dirty="0"/>
                          </a:p>
                        </a:txBody>
                        <a:useSpRect/>
                      </a:txSp>
                    </a:sp>
                  </a:grpSp>
                </lc:lockedCanvas>
              </a:graphicData>
            </a:graphic>
          </wp:anchor>
        </w:drawing>
      </w:r>
      <w:r w:rsidR="00F65823" w:rsidRPr="00111F8B">
        <w:rPr>
          <w:b/>
          <w:sz w:val="24"/>
          <w:szCs w:val="24"/>
          <w:u w:val="single"/>
          <w:lang w:val="en-US"/>
        </w:rPr>
        <w:t>Recommendation:</w:t>
      </w:r>
      <w:r w:rsidR="00F65823" w:rsidRPr="00F65823">
        <w:rPr>
          <w:b/>
          <w:u w:val="single"/>
          <w:lang w:val="en-US"/>
        </w:rPr>
        <w:t xml:space="preserve"> Scientists should be aware of the procedure to publishing in Ope</w:t>
      </w:r>
      <w:r w:rsidR="00533776">
        <w:rPr>
          <w:b/>
          <w:u w:val="single"/>
          <w:lang w:val="en-US"/>
        </w:rPr>
        <w:t>n Access</w:t>
      </w:r>
      <w:r w:rsidR="00F65823" w:rsidRPr="00F65823">
        <w:rPr>
          <w:b/>
          <w:u w:val="single"/>
          <w:lang w:val="en-US"/>
        </w:rPr>
        <w:t>.</w:t>
      </w:r>
      <w:r w:rsidR="00533776">
        <w:rPr>
          <w:b/>
          <w:u w:val="single"/>
          <w:lang w:val="en-US"/>
        </w:rPr>
        <w:t xml:space="preserve"> </w:t>
      </w:r>
    </w:p>
    <w:p w:rsidR="00B53126" w:rsidRPr="0084129F" w:rsidRDefault="0084129F" w:rsidP="00745B91">
      <w:pPr>
        <w:jc w:val="both"/>
        <w:rPr>
          <w:rStyle w:val="tlid-translation"/>
          <w:lang w:val="en-GB"/>
        </w:rPr>
      </w:pPr>
      <w:r>
        <w:rPr>
          <w:noProof/>
          <w:lang w:eastAsia="de-DE"/>
        </w:rPr>
        <w:drawing>
          <wp:anchor distT="0" distB="0" distL="114300" distR="114300" simplePos="0" relativeHeight="251660288" behindDoc="0" locked="0" layoutInCell="1" allowOverlap="1">
            <wp:simplePos x="0" y="0"/>
            <wp:positionH relativeFrom="margin">
              <wp:posOffset>4996180</wp:posOffset>
            </wp:positionH>
            <wp:positionV relativeFrom="margin">
              <wp:posOffset>4424680</wp:posOffset>
            </wp:positionV>
            <wp:extent cx="942975" cy="1266825"/>
            <wp:effectExtent l="19050" t="0" r="0" b="0"/>
            <wp:wrapSquare wrapText="bothSides"/>
            <wp:docPr id="14" name="Objek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1639" cy="1872208"/>
                      <a:chOff x="3563888" y="3645024"/>
                      <a:chExt cx="1441639" cy="1872208"/>
                    </a:xfrm>
                  </a:grpSpPr>
                  <a:grpSp>
                    <a:nvGrpSpPr>
                      <a:cNvPr id="16" name="Gruppieren 15"/>
                      <a:cNvGrpSpPr/>
                    </a:nvGrpSpPr>
                    <a:grpSpPr>
                      <a:xfrm>
                        <a:off x="3563888" y="3645024"/>
                        <a:ext cx="1441639" cy="1872208"/>
                        <a:chOff x="3563888" y="3645024"/>
                        <a:chExt cx="1441639" cy="1872208"/>
                      </a:xfrm>
                    </a:grpSpPr>
                    <a:pic>
                      <a:nvPicPr>
                        <a:cNvPr id="14" name="Grafik 13" descr="SHERPA_ROMEO.jpg"/>
                        <a:cNvPicPr>
                          <a:picLocks noChangeAspect="1"/>
                        </a:cNvPicPr>
                      </a:nvPicPr>
                      <a:blipFill>
                        <a:blip r:embed="rId9"/>
                        <a:stretch>
                          <a:fillRect/>
                        </a:stretch>
                      </a:blipFill>
                      <a:spPr>
                        <a:xfrm>
                          <a:off x="3563888" y="3645024"/>
                          <a:ext cx="1441639" cy="1872208"/>
                        </a:xfrm>
                        <a:prstGeom prst="rect">
                          <a:avLst/>
                        </a:prstGeom>
                      </a:spPr>
                    </a:pic>
                    <a:sp>
                      <a:nvSpPr>
                        <a:cNvPr id="15" name="Textfeld 14"/>
                        <a:cNvSpPr txBox="1"/>
                      </a:nvSpPr>
                      <a:spPr>
                        <a:xfrm>
                          <a:off x="3779912" y="5157192"/>
                          <a:ext cx="1152128" cy="26161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100" dirty="0" smtClean="0"/>
                              <a:t>SHERPA/ROMEO</a:t>
                            </a:r>
                            <a:endParaRPr lang="de-DE" sz="1100" dirty="0"/>
                          </a:p>
                        </a:txBody>
                        <a:useSpRect/>
                      </a:txSp>
                    </a:sp>
                  </a:grpSp>
                </lc:lockedCanvas>
              </a:graphicData>
            </a:graphic>
          </wp:anchor>
        </w:drawing>
      </w:r>
      <w:r w:rsidR="00A31ADD">
        <w:rPr>
          <w:rStyle w:val="tlid-translation"/>
          <w:lang w:val="en-US"/>
        </w:rPr>
        <w:t>O</w:t>
      </w:r>
      <w:r w:rsidR="008A1067">
        <w:rPr>
          <w:rStyle w:val="tlid-translation"/>
          <w:lang w:val="en-GB"/>
        </w:rPr>
        <w:t xml:space="preserve">pen access </w:t>
      </w:r>
      <w:r w:rsidR="00A31ADD">
        <w:rPr>
          <w:rStyle w:val="tlid-translation"/>
          <w:lang w:val="en-GB"/>
        </w:rPr>
        <w:t>could be</w:t>
      </w:r>
      <w:r w:rsidR="00CA0909" w:rsidRPr="00CA0909">
        <w:rPr>
          <w:rStyle w:val="tlid-translation"/>
          <w:lang w:val="en-GB"/>
        </w:rPr>
        <w:t xml:space="preserve"> distinguish</w:t>
      </w:r>
      <w:r w:rsidR="00A31ADD">
        <w:rPr>
          <w:rStyle w:val="tlid-translation"/>
          <w:lang w:val="en-GB"/>
        </w:rPr>
        <w:t>ed</w:t>
      </w:r>
      <w:r w:rsidR="00CA0909" w:rsidRPr="00CA0909">
        <w:rPr>
          <w:rStyle w:val="tlid-translation"/>
          <w:lang w:val="en-GB"/>
        </w:rPr>
        <w:t xml:space="preserve"> between the golden and the green way. </w:t>
      </w:r>
      <w:r w:rsidR="008A1067">
        <w:rPr>
          <w:rStyle w:val="tlid-translation"/>
          <w:lang w:val="en-GB"/>
        </w:rPr>
        <w:t>The golden way describe</w:t>
      </w:r>
      <w:r w:rsidR="00A31ADD">
        <w:rPr>
          <w:rStyle w:val="tlid-translation"/>
          <w:lang w:val="en-GB"/>
        </w:rPr>
        <w:t>s a</w:t>
      </w:r>
      <w:r w:rsidR="008A1067">
        <w:rPr>
          <w:rStyle w:val="tlid-translation"/>
          <w:lang w:val="en-GB"/>
        </w:rPr>
        <w:t xml:space="preserve"> primary</w:t>
      </w:r>
      <w:r w:rsidR="00A31ADD">
        <w:rPr>
          <w:rStyle w:val="tlid-translation"/>
          <w:lang w:val="en-GB"/>
        </w:rPr>
        <w:t xml:space="preserve"> publishing</w:t>
      </w:r>
      <w:r w:rsidR="00CA0909" w:rsidRPr="00CA0909">
        <w:rPr>
          <w:rStyle w:val="tlid-translation"/>
          <w:lang w:val="en-GB"/>
        </w:rPr>
        <w:t xml:space="preserve"> of a scientific publication via an electronic open access peer review journal. The funding of pu</w:t>
      </w:r>
      <w:r w:rsidR="008A1067">
        <w:rPr>
          <w:rStyle w:val="tlid-translation"/>
          <w:lang w:val="en-GB"/>
        </w:rPr>
        <w:t>blications along the golden way</w:t>
      </w:r>
      <w:r w:rsidR="00CA0909" w:rsidRPr="00CA0909">
        <w:rPr>
          <w:rStyle w:val="tlid-translation"/>
          <w:lang w:val="en-GB"/>
        </w:rPr>
        <w:t xml:space="preserve"> is borne </w:t>
      </w:r>
      <w:r w:rsidR="008A1067">
        <w:rPr>
          <w:rStyle w:val="tlid-translation"/>
          <w:lang w:val="en-GB"/>
        </w:rPr>
        <w:t xml:space="preserve">by the authors, </w:t>
      </w:r>
      <w:r w:rsidR="00CA0909" w:rsidRPr="00CA0909">
        <w:rPr>
          <w:rStyle w:val="tlid-translation"/>
          <w:lang w:val="en-GB"/>
        </w:rPr>
        <w:t>the r</w:t>
      </w:r>
      <w:r w:rsidR="00CC1956">
        <w:rPr>
          <w:rStyle w:val="tlid-translation"/>
          <w:lang w:val="en-GB"/>
        </w:rPr>
        <w:t>esearch organizations or funders</w:t>
      </w:r>
      <w:r w:rsidR="00CA0909" w:rsidRPr="00CA0909">
        <w:rPr>
          <w:rStyle w:val="tlid-translation"/>
          <w:lang w:val="en-GB"/>
        </w:rPr>
        <w:t xml:space="preserve">, the reader does not </w:t>
      </w:r>
      <w:r w:rsidR="00B53126">
        <w:rPr>
          <w:rStyle w:val="tlid-translation"/>
          <w:lang w:val="en-GB"/>
        </w:rPr>
        <w:t xml:space="preserve">have to </w:t>
      </w:r>
      <w:r w:rsidR="00CA0909" w:rsidRPr="00CA0909">
        <w:rPr>
          <w:rStyle w:val="tlid-translation"/>
          <w:lang w:val="en-GB"/>
        </w:rPr>
        <w:t xml:space="preserve">pay. The green way </w:t>
      </w:r>
      <w:r w:rsidR="00A31ADD">
        <w:rPr>
          <w:rStyle w:val="tlid-translation"/>
          <w:lang w:val="en-GB"/>
        </w:rPr>
        <w:t>signifies the second</w:t>
      </w:r>
      <w:r w:rsidR="00EF0392">
        <w:rPr>
          <w:rStyle w:val="tlid-translation"/>
          <w:lang w:val="en-GB"/>
        </w:rPr>
        <w:t>ary</w:t>
      </w:r>
      <w:r w:rsidR="00A31ADD">
        <w:rPr>
          <w:rStyle w:val="tlid-translation"/>
          <w:lang w:val="en-GB"/>
        </w:rPr>
        <w:t xml:space="preserve"> publishing</w:t>
      </w:r>
      <w:r w:rsidR="00CA0909" w:rsidRPr="00CA0909">
        <w:rPr>
          <w:rStyle w:val="tlid-translation"/>
          <w:lang w:val="en-GB"/>
        </w:rPr>
        <w:t xml:space="preserve"> of a publication </w:t>
      </w:r>
      <w:r w:rsidR="00EF0392">
        <w:rPr>
          <w:rStyle w:val="tlid-translation"/>
          <w:lang w:val="en-GB"/>
        </w:rPr>
        <w:t xml:space="preserve">that already was published </w:t>
      </w:r>
      <w:r w:rsidR="00B53126">
        <w:rPr>
          <w:rStyle w:val="tlid-translation"/>
          <w:lang w:val="en-GB"/>
        </w:rPr>
        <w:t>in a subscription</w:t>
      </w:r>
      <w:r w:rsidR="00CA0909" w:rsidRPr="00CA0909">
        <w:rPr>
          <w:rStyle w:val="tlid-translation"/>
          <w:lang w:val="en-GB"/>
        </w:rPr>
        <w:t xml:space="preserve">-based journal. </w:t>
      </w:r>
      <w:r w:rsidR="00311068">
        <w:rPr>
          <w:rStyle w:val="tlid-translation"/>
          <w:lang w:val="en-GB"/>
        </w:rPr>
        <w:t>A</w:t>
      </w:r>
      <w:r w:rsidR="00CA0909" w:rsidRPr="00CA0909">
        <w:rPr>
          <w:rStyle w:val="tlid-translation"/>
          <w:lang w:val="en-GB"/>
        </w:rPr>
        <w:t xml:space="preserve">fter a certain period of time (embargo time) there is </w:t>
      </w:r>
      <w:r w:rsidR="00311068">
        <w:rPr>
          <w:rStyle w:val="tlid-translation"/>
          <w:lang w:val="en-GB"/>
        </w:rPr>
        <w:t xml:space="preserve">usually </w:t>
      </w:r>
      <w:r w:rsidR="00B53126">
        <w:rPr>
          <w:rStyle w:val="tlid-translation"/>
          <w:lang w:val="en-GB"/>
        </w:rPr>
        <w:t>the possibility of publishing  the</w:t>
      </w:r>
      <w:r w:rsidR="00B53126" w:rsidRPr="00CA0909">
        <w:rPr>
          <w:rStyle w:val="tlid-translation"/>
          <w:lang w:val="en-GB"/>
        </w:rPr>
        <w:t xml:space="preserve"> preprint or </w:t>
      </w:r>
      <w:proofErr w:type="spellStart"/>
      <w:r w:rsidR="00B53126" w:rsidRPr="00CA0909">
        <w:rPr>
          <w:rStyle w:val="tlid-translation"/>
          <w:lang w:val="en-GB"/>
        </w:rPr>
        <w:t>postprint</w:t>
      </w:r>
      <w:proofErr w:type="spellEnd"/>
      <w:r w:rsidR="00B53126" w:rsidRPr="00CA0909">
        <w:rPr>
          <w:rStyle w:val="tlid-translation"/>
          <w:lang w:val="en-GB"/>
        </w:rPr>
        <w:t xml:space="preserve"> in open access </w:t>
      </w:r>
      <w:r w:rsidR="00CA0909" w:rsidRPr="00CA0909">
        <w:rPr>
          <w:rStyle w:val="tlid-translation"/>
          <w:lang w:val="en-GB"/>
        </w:rPr>
        <w:t xml:space="preserve"> on a university or institute server (repository) or otherwise on the Internet, e</w:t>
      </w:r>
      <w:r w:rsidR="00311068">
        <w:rPr>
          <w:rStyle w:val="tlid-translation"/>
          <w:lang w:val="en-GB"/>
        </w:rPr>
        <w:t xml:space="preserve">. </w:t>
      </w:r>
      <w:r w:rsidR="00CA0909" w:rsidRPr="00CA0909">
        <w:rPr>
          <w:rStyle w:val="tlid-translation"/>
          <w:lang w:val="en-GB"/>
        </w:rPr>
        <w:t xml:space="preserve">g. </w:t>
      </w:r>
      <w:r w:rsidR="00B53126">
        <w:rPr>
          <w:rStyle w:val="tlid-translation"/>
          <w:lang w:val="en-GB"/>
        </w:rPr>
        <w:t xml:space="preserve"> on Research Gate</w:t>
      </w:r>
      <w:r w:rsidR="00CA0909" w:rsidRPr="00CA0909">
        <w:rPr>
          <w:rStyle w:val="tlid-translation"/>
          <w:lang w:val="en-GB"/>
        </w:rPr>
        <w:t xml:space="preserve">. </w:t>
      </w:r>
      <w:r w:rsidR="00B53126" w:rsidRPr="00B53126">
        <w:rPr>
          <w:rStyle w:val="tlid-translation"/>
          <w:lang w:val="en-GB"/>
        </w:rPr>
        <w:t>The conditi</w:t>
      </w:r>
      <w:r w:rsidR="008F2490">
        <w:rPr>
          <w:rStyle w:val="tlid-translation"/>
          <w:lang w:val="en-GB"/>
        </w:rPr>
        <w:t xml:space="preserve">ons </w:t>
      </w:r>
      <w:r w:rsidR="005459F0">
        <w:rPr>
          <w:rStyle w:val="tlid-translation"/>
          <w:lang w:val="en-GB"/>
        </w:rPr>
        <w:t>for</w:t>
      </w:r>
      <w:r w:rsidR="008F2490">
        <w:rPr>
          <w:rStyle w:val="tlid-translation"/>
          <w:lang w:val="en-GB"/>
        </w:rPr>
        <w:t xml:space="preserve"> different</w:t>
      </w:r>
      <w:r w:rsidR="00B53126" w:rsidRPr="00B53126">
        <w:rPr>
          <w:rStyle w:val="tlid-translation"/>
          <w:lang w:val="en-GB"/>
        </w:rPr>
        <w:t xml:space="preserve"> publishers and the associated journals can be found on the SHERPA / Romeo database.</w:t>
      </w:r>
      <w:r w:rsidRPr="0084129F">
        <w:rPr>
          <w:noProof/>
          <w:lang w:val="en-GB" w:eastAsia="de-DE"/>
        </w:rPr>
        <w:t xml:space="preserve"> </w:t>
      </w:r>
    </w:p>
    <w:p w:rsidR="00CA0909" w:rsidRPr="005D5485" w:rsidRDefault="00745B91" w:rsidP="00CA0909">
      <w:pPr>
        <w:rPr>
          <w:b/>
          <w:u w:val="single"/>
          <w:lang w:val="en-US"/>
        </w:rPr>
      </w:pPr>
      <w:r>
        <w:rPr>
          <w:b/>
          <w:noProof/>
          <w:sz w:val="24"/>
          <w:szCs w:val="24"/>
          <w:u w:val="single"/>
          <w:lang w:eastAsia="de-DE"/>
        </w:rPr>
        <w:drawing>
          <wp:anchor distT="0" distB="0" distL="114300" distR="114300" simplePos="0" relativeHeight="251661312" behindDoc="0" locked="0" layoutInCell="1" allowOverlap="1">
            <wp:simplePos x="0" y="0"/>
            <wp:positionH relativeFrom="margin">
              <wp:posOffset>4996180</wp:posOffset>
            </wp:positionH>
            <wp:positionV relativeFrom="margin">
              <wp:posOffset>5929630</wp:posOffset>
            </wp:positionV>
            <wp:extent cx="942975" cy="1266825"/>
            <wp:effectExtent l="19050" t="0" r="0" b="0"/>
            <wp:wrapSquare wrapText="bothSides"/>
            <wp:docPr id="16" name="Objek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1639" cy="1872208"/>
                      <a:chOff x="5292080" y="1988840"/>
                      <a:chExt cx="1441639" cy="1872208"/>
                    </a:xfrm>
                  </a:grpSpPr>
                  <a:grpSp>
                    <a:nvGrpSpPr>
                      <a:cNvPr id="19" name="Gruppieren 18"/>
                      <a:cNvGrpSpPr/>
                    </a:nvGrpSpPr>
                    <a:grpSpPr>
                      <a:xfrm>
                        <a:off x="5292080" y="1988840"/>
                        <a:ext cx="1441639" cy="1872208"/>
                        <a:chOff x="5220072" y="1700808"/>
                        <a:chExt cx="1441639" cy="1872208"/>
                      </a:xfrm>
                    </a:grpSpPr>
                    <a:pic>
                      <a:nvPicPr>
                        <a:cNvPr id="17" name="Grafik 16" descr="Predatory_Publishing.jpg"/>
                        <a:cNvPicPr>
                          <a:picLocks noChangeAspect="1"/>
                        </a:cNvPicPr>
                      </a:nvPicPr>
                      <a:blipFill>
                        <a:blip r:embed="rId10"/>
                        <a:stretch>
                          <a:fillRect/>
                        </a:stretch>
                      </a:blipFill>
                      <a:spPr>
                        <a:xfrm>
                          <a:off x="5220072" y="1700808"/>
                          <a:ext cx="1441639" cy="1872208"/>
                        </a:xfrm>
                        <a:prstGeom prst="rect">
                          <a:avLst/>
                        </a:prstGeom>
                      </a:spPr>
                    </a:pic>
                    <a:sp>
                      <a:nvSpPr>
                        <a:cNvPr id="18" name="Textfeld 17"/>
                        <a:cNvSpPr txBox="1"/>
                      </a:nvSpPr>
                      <a:spPr>
                        <a:xfrm>
                          <a:off x="5652120" y="3140968"/>
                          <a:ext cx="1008112" cy="40011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000" dirty="0" err="1" smtClean="0"/>
                              <a:t>Predatory</a:t>
                            </a:r>
                            <a:r>
                              <a:rPr lang="de-DE" sz="1000" dirty="0" smtClean="0"/>
                              <a:t> Publishing</a:t>
                            </a:r>
                            <a:endParaRPr lang="de-DE" sz="1000" dirty="0"/>
                          </a:p>
                        </a:txBody>
                        <a:useSpRect/>
                      </a:txSp>
                    </a:sp>
                  </a:grpSp>
                </lc:lockedCanvas>
              </a:graphicData>
            </a:graphic>
          </wp:anchor>
        </w:drawing>
      </w:r>
      <w:r w:rsidR="00CA0909" w:rsidRPr="00111F8B">
        <w:rPr>
          <w:b/>
          <w:sz w:val="24"/>
          <w:szCs w:val="24"/>
          <w:u w:val="single"/>
          <w:lang w:val="en-US"/>
        </w:rPr>
        <w:t>Recommendation:</w:t>
      </w:r>
      <w:r w:rsidR="00CA0909" w:rsidRPr="005D5485">
        <w:rPr>
          <w:b/>
          <w:u w:val="single"/>
          <w:lang w:val="en-US"/>
        </w:rPr>
        <w:t xml:space="preserve"> Scientists should be aware of avoiding predatory publishing.</w:t>
      </w:r>
    </w:p>
    <w:p w:rsidR="00CA0909" w:rsidRPr="00A31ADD" w:rsidRDefault="00B53126" w:rsidP="00745B91">
      <w:pPr>
        <w:jc w:val="both"/>
        <w:rPr>
          <w:rStyle w:val="tlid-translation"/>
          <w:lang w:val="en-GB"/>
        </w:rPr>
      </w:pPr>
      <w:r>
        <w:rPr>
          <w:rStyle w:val="tlid-translation"/>
          <w:lang w:val="en-US"/>
        </w:rPr>
        <w:t>Once decided</w:t>
      </w:r>
      <w:r w:rsidR="00A31ADD" w:rsidRPr="00A31ADD">
        <w:rPr>
          <w:rStyle w:val="tlid-translation"/>
          <w:lang w:val="en-GB"/>
        </w:rPr>
        <w:t xml:space="preserve"> for an open access publication, it should be ensured that </w:t>
      </w:r>
      <w:r w:rsidR="0070520C">
        <w:rPr>
          <w:rStyle w:val="tlid-translation"/>
          <w:lang w:val="en-GB"/>
        </w:rPr>
        <w:t xml:space="preserve">the selected </w:t>
      </w:r>
      <w:r w:rsidR="0070520C" w:rsidRPr="0070520C">
        <w:rPr>
          <w:rStyle w:val="tlid-translation"/>
          <w:lang w:val="en-GB"/>
        </w:rPr>
        <w:t>journal i</w:t>
      </w:r>
      <w:r w:rsidR="0070520C">
        <w:rPr>
          <w:rStyle w:val="tlid-translation"/>
          <w:lang w:val="en-GB"/>
        </w:rPr>
        <w:t>s a "true" open access journal, where</w:t>
      </w:r>
      <w:r w:rsidR="00A31ADD" w:rsidRPr="00A31ADD">
        <w:rPr>
          <w:rStyle w:val="tlid-translation"/>
          <w:lang w:val="en-GB"/>
        </w:rPr>
        <w:t xml:space="preserve"> </w:t>
      </w:r>
      <w:r w:rsidR="0070520C">
        <w:rPr>
          <w:rStyle w:val="tlid-translation"/>
          <w:lang w:val="en-GB"/>
        </w:rPr>
        <w:t xml:space="preserve">a </w:t>
      </w:r>
      <w:r w:rsidR="00A31ADD" w:rsidRPr="00A31ADD">
        <w:rPr>
          <w:rStyle w:val="tlid-translation"/>
          <w:lang w:val="en-GB"/>
        </w:rPr>
        <w:t>quality control</w:t>
      </w:r>
      <w:r w:rsidR="0070520C" w:rsidRPr="0070520C">
        <w:rPr>
          <w:rStyle w:val="tlid-translation"/>
          <w:lang w:val="en-GB"/>
        </w:rPr>
        <w:t xml:space="preserve"> </w:t>
      </w:r>
      <w:r w:rsidR="0070520C" w:rsidRPr="00A31ADD">
        <w:rPr>
          <w:rStyle w:val="tlid-translation"/>
          <w:lang w:val="en-GB"/>
        </w:rPr>
        <w:t>in the context of a peer reviewing</w:t>
      </w:r>
      <w:r w:rsidR="0070520C">
        <w:rPr>
          <w:rStyle w:val="tlid-translation"/>
          <w:lang w:val="en-GB"/>
        </w:rPr>
        <w:t xml:space="preserve"> is carried out. In the past, so-called "predatory publishers" have cast a shadow on open access</w:t>
      </w:r>
      <w:r w:rsidR="00A31ADD" w:rsidRPr="00A31ADD">
        <w:rPr>
          <w:rStyle w:val="tlid-translation"/>
          <w:lang w:val="en-GB"/>
        </w:rPr>
        <w:t xml:space="preserve">. These are publishers who pretend to be a full-fledged scientific journal, without </w:t>
      </w:r>
      <w:r w:rsidR="0070520C">
        <w:rPr>
          <w:rStyle w:val="tlid-translation"/>
          <w:lang w:val="en-GB"/>
        </w:rPr>
        <w:t xml:space="preserve">ensuring </w:t>
      </w:r>
      <w:r w:rsidR="00A31ADD" w:rsidRPr="00A31ADD">
        <w:rPr>
          <w:rStyle w:val="tlid-translation"/>
          <w:lang w:val="en-GB"/>
        </w:rPr>
        <w:t>the services of a reputable journal, such as a proper peer re</w:t>
      </w:r>
      <w:r w:rsidR="0070520C">
        <w:rPr>
          <w:rStyle w:val="tlid-translation"/>
          <w:lang w:val="en-GB"/>
        </w:rPr>
        <w:t>viewing or a worldwide discoverability of the publications</w:t>
      </w:r>
      <w:r w:rsidR="00A31ADD" w:rsidRPr="00A31ADD">
        <w:rPr>
          <w:rStyle w:val="tlid-translation"/>
          <w:lang w:val="en-GB"/>
        </w:rPr>
        <w:t>.</w:t>
      </w:r>
      <w:r w:rsidR="0070520C">
        <w:rPr>
          <w:rStyle w:val="tlid-translation"/>
          <w:lang w:val="en-GB"/>
        </w:rPr>
        <w:t xml:space="preserve"> </w:t>
      </w:r>
    </w:p>
    <w:p w:rsidR="00CA0909" w:rsidRPr="005D5485" w:rsidRDefault="00745B91" w:rsidP="00CA0909">
      <w:pPr>
        <w:rPr>
          <w:b/>
          <w:u w:val="single"/>
          <w:lang w:val="en-US"/>
        </w:rPr>
      </w:pPr>
      <w:r>
        <w:rPr>
          <w:b/>
          <w:noProof/>
          <w:sz w:val="24"/>
          <w:szCs w:val="24"/>
          <w:u w:val="single"/>
          <w:lang w:eastAsia="de-DE"/>
        </w:rPr>
        <w:drawing>
          <wp:anchor distT="0" distB="0" distL="114300" distR="114300" simplePos="0" relativeHeight="251663360" behindDoc="0" locked="0" layoutInCell="1" allowOverlap="1">
            <wp:simplePos x="0" y="0"/>
            <wp:positionH relativeFrom="margin">
              <wp:posOffset>4995545</wp:posOffset>
            </wp:positionH>
            <wp:positionV relativeFrom="margin">
              <wp:posOffset>7386955</wp:posOffset>
            </wp:positionV>
            <wp:extent cx="942975" cy="1266825"/>
            <wp:effectExtent l="19050" t="0" r="0" b="0"/>
            <wp:wrapSquare wrapText="bothSides"/>
            <wp:docPr id="19" name="Objek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76000" cy="1916832"/>
                      <a:chOff x="251520" y="1700808"/>
                      <a:chExt cx="1476000" cy="1916832"/>
                    </a:xfrm>
                  </a:grpSpPr>
                  <a:grpSp>
                    <a:nvGrpSpPr>
                      <a:cNvPr id="22" name="Gruppieren 21"/>
                      <a:cNvGrpSpPr/>
                    </a:nvGrpSpPr>
                    <a:grpSpPr>
                      <a:xfrm>
                        <a:off x="251520" y="1700808"/>
                        <a:ext cx="1476000" cy="1916832"/>
                        <a:chOff x="251520" y="1700808"/>
                        <a:chExt cx="1476000" cy="1916832"/>
                      </a:xfrm>
                    </a:grpSpPr>
                    <a:pic>
                      <a:nvPicPr>
                        <a:cNvPr id="20" name="Grafik 19" descr="DOAJ.jpg"/>
                        <a:cNvPicPr>
                          <a:picLocks noChangeAspect="1"/>
                        </a:cNvPicPr>
                      </a:nvPicPr>
                      <a:blipFill>
                        <a:blip r:embed="rId11"/>
                        <a:stretch>
                          <a:fillRect/>
                        </a:stretch>
                      </a:blipFill>
                      <a:spPr>
                        <a:xfrm>
                          <a:off x="251520" y="1700808"/>
                          <a:ext cx="1476000" cy="1916832"/>
                        </a:xfrm>
                        <a:prstGeom prst="rect">
                          <a:avLst/>
                        </a:prstGeom>
                      </a:spPr>
                    </a:pic>
                    <a:sp>
                      <a:nvSpPr>
                        <a:cNvPr id="21" name="Textfeld 20"/>
                        <a:cNvSpPr txBox="1"/>
                      </a:nvSpPr>
                      <a:spPr>
                        <a:xfrm>
                          <a:off x="683568" y="3140968"/>
                          <a:ext cx="864096" cy="369332"/>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dirty="0" smtClean="0"/>
                              <a:t>DOAJ</a:t>
                            </a:r>
                            <a:endParaRPr lang="de-DE" dirty="0"/>
                          </a:p>
                        </a:txBody>
                        <a:useSpRect/>
                      </a:txSp>
                    </a:sp>
                  </a:grpSp>
                </lc:lockedCanvas>
              </a:graphicData>
            </a:graphic>
          </wp:anchor>
        </w:drawing>
      </w:r>
      <w:r w:rsidR="00CA0909" w:rsidRPr="00111F8B">
        <w:rPr>
          <w:b/>
          <w:sz w:val="24"/>
          <w:szCs w:val="24"/>
          <w:u w:val="single"/>
          <w:lang w:val="en-US"/>
        </w:rPr>
        <w:t>Recommendation:</w:t>
      </w:r>
      <w:r w:rsidR="00CA0909">
        <w:rPr>
          <w:b/>
          <w:sz w:val="24"/>
          <w:szCs w:val="24"/>
          <w:u w:val="single"/>
          <w:lang w:val="en-US"/>
        </w:rPr>
        <w:t xml:space="preserve"> </w:t>
      </w:r>
      <w:r w:rsidR="00CA0909" w:rsidRPr="005D5485">
        <w:rPr>
          <w:b/>
          <w:u w:val="single"/>
          <w:lang w:val="en-US"/>
        </w:rPr>
        <w:t>Scientists should be informed about Open Access Journals in their research domains.</w:t>
      </w:r>
      <w:r w:rsidRPr="00745B91">
        <w:rPr>
          <w:rFonts w:eastAsia="Times New Roman" w:cs="Times New Roman"/>
          <w:lang w:val="en-GB" w:eastAsia="de-DE"/>
        </w:rPr>
        <w:t xml:space="preserve"> </w:t>
      </w:r>
    </w:p>
    <w:p w:rsidR="00A31ADD" w:rsidRDefault="00A31ADD" w:rsidP="00745B91">
      <w:pPr>
        <w:jc w:val="both"/>
        <w:rPr>
          <w:rFonts w:eastAsia="Times New Roman" w:cs="Times New Roman"/>
          <w:lang w:val="en-GB" w:eastAsia="de-DE"/>
        </w:rPr>
      </w:pPr>
      <w:r w:rsidRPr="00A31ADD">
        <w:rPr>
          <w:rFonts w:eastAsia="Times New Roman" w:cs="Times New Roman"/>
          <w:lang w:val="en-GB" w:eastAsia="de-DE"/>
        </w:rPr>
        <w:t>The Directory of Open Access (DOAJ) is a directory of ope</w:t>
      </w:r>
      <w:r w:rsidR="00311068">
        <w:rPr>
          <w:rFonts w:eastAsia="Times New Roman" w:cs="Times New Roman"/>
          <w:lang w:val="en-GB" w:eastAsia="de-DE"/>
        </w:rPr>
        <w:t>n access journals. All journals</w:t>
      </w:r>
      <w:r w:rsidRPr="00A31ADD">
        <w:rPr>
          <w:rFonts w:eastAsia="Times New Roman" w:cs="Times New Roman"/>
          <w:lang w:val="en-GB" w:eastAsia="de-DE"/>
        </w:rPr>
        <w:t xml:space="preserve"> listed here have a quality control and the articles are available free of charge worldwide immediately after their publication.</w:t>
      </w:r>
      <w:r w:rsidR="00311068">
        <w:rPr>
          <w:rFonts w:eastAsia="Times New Roman" w:cs="Times New Roman"/>
          <w:lang w:val="en-GB" w:eastAsia="de-DE"/>
        </w:rPr>
        <w:t xml:space="preserve"> </w:t>
      </w:r>
    </w:p>
    <w:p w:rsidR="00745B91" w:rsidRDefault="00745B91" w:rsidP="00A31ADD">
      <w:pPr>
        <w:spacing w:after="0" w:line="240" w:lineRule="auto"/>
        <w:rPr>
          <w:rStyle w:val="tlid-translation"/>
          <w:b/>
          <w:sz w:val="24"/>
          <w:szCs w:val="24"/>
          <w:u w:val="single"/>
          <w:lang w:val="en-US"/>
        </w:rPr>
      </w:pPr>
    </w:p>
    <w:p w:rsidR="00745B91" w:rsidRDefault="00745B91" w:rsidP="00A31ADD">
      <w:pPr>
        <w:spacing w:after="0" w:line="240" w:lineRule="auto"/>
        <w:rPr>
          <w:rStyle w:val="tlid-translation"/>
          <w:b/>
          <w:sz w:val="24"/>
          <w:szCs w:val="24"/>
          <w:u w:val="single"/>
          <w:lang w:val="en-US"/>
        </w:rPr>
      </w:pPr>
    </w:p>
    <w:p w:rsidR="00CA0909" w:rsidRPr="00A31ADD" w:rsidRDefault="00CA0909" w:rsidP="00A31ADD">
      <w:pPr>
        <w:spacing w:after="0" w:line="240" w:lineRule="auto"/>
        <w:rPr>
          <w:rStyle w:val="tlid-translation"/>
          <w:rFonts w:eastAsia="Times New Roman" w:cs="Times New Roman"/>
          <w:sz w:val="24"/>
          <w:szCs w:val="24"/>
          <w:lang w:val="en-GB" w:eastAsia="de-DE"/>
        </w:rPr>
      </w:pPr>
      <w:r w:rsidRPr="00A31ADD">
        <w:rPr>
          <w:rStyle w:val="tlid-translation"/>
          <w:b/>
          <w:sz w:val="24"/>
          <w:szCs w:val="24"/>
          <w:u w:val="single"/>
          <w:lang w:val="en-US"/>
        </w:rPr>
        <w:lastRenderedPageBreak/>
        <w:t>Transparency about Open Access Policy of University of Bremen</w:t>
      </w:r>
    </w:p>
    <w:p w:rsidR="00A31ADD" w:rsidRDefault="00A31ADD" w:rsidP="00CA0909">
      <w:pPr>
        <w:rPr>
          <w:b/>
          <w:sz w:val="24"/>
          <w:szCs w:val="24"/>
          <w:u w:val="single"/>
          <w:lang w:val="en-GB"/>
        </w:rPr>
      </w:pPr>
    </w:p>
    <w:p w:rsidR="00CA0909" w:rsidRDefault="00745B91" w:rsidP="00CA0909">
      <w:pPr>
        <w:rPr>
          <w:b/>
          <w:u w:val="single"/>
          <w:lang w:val="en-US"/>
        </w:rPr>
      </w:pPr>
      <w:r>
        <w:rPr>
          <w:b/>
          <w:noProof/>
          <w:sz w:val="24"/>
          <w:szCs w:val="24"/>
          <w:u w:val="single"/>
          <w:lang w:eastAsia="de-DE"/>
        </w:rPr>
        <w:drawing>
          <wp:anchor distT="0" distB="0" distL="114300" distR="114300" simplePos="0" relativeHeight="251664384" behindDoc="0" locked="0" layoutInCell="1" allowOverlap="1">
            <wp:simplePos x="0" y="0"/>
            <wp:positionH relativeFrom="margin">
              <wp:posOffset>4834255</wp:posOffset>
            </wp:positionH>
            <wp:positionV relativeFrom="margin">
              <wp:posOffset>738505</wp:posOffset>
            </wp:positionV>
            <wp:extent cx="942975" cy="1266825"/>
            <wp:effectExtent l="19050" t="0" r="0" b="0"/>
            <wp:wrapSquare wrapText="bothSides"/>
            <wp:docPr id="21" name="Objek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0160" cy="1872208"/>
                      <a:chOff x="1835697" y="3645024"/>
                      <a:chExt cx="1440160" cy="1872208"/>
                    </a:xfrm>
                  </a:grpSpPr>
                  <a:grpSp>
                    <a:nvGrpSpPr>
                      <a:cNvPr id="25" name="Gruppieren 24"/>
                      <a:cNvGrpSpPr/>
                    </a:nvGrpSpPr>
                    <a:grpSpPr>
                      <a:xfrm>
                        <a:off x="1835697" y="3645024"/>
                        <a:ext cx="1440160" cy="1872208"/>
                        <a:chOff x="1835697" y="3645024"/>
                        <a:chExt cx="1440160" cy="1872208"/>
                      </a:xfrm>
                    </a:grpSpPr>
                    <a:pic>
                      <a:nvPicPr>
                        <a:cNvPr id="23" name="Grafik 22" descr="OA_Policy.jpg"/>
                        <a:cNvPicPr>
                          <a:picLocks noChangeAspect="1"/>
                        </a:cNvPicPr>
                      </a:nvPicPr>
                      <a:blipFill>
                        <a:blip r:embed="rId12"/>
                        <a:stretch>
                          <a:fillRect/>
                        </a:stretch>
                      </a:blipFill>
                      <a:spPr>
                        <a:xfrm>
                          <a:off x="1835697" y="3645024"/>
                          <a:ext cx="1440160" cy="1872208"/>
                        </a:xfrm>
                        <a:prstGeom prst="rect">
                          <a:avLst/>
                        </a:prstGeom>
                      </a:spPr>
                    </a:pic>
                    <a:sp>
                      <a:nvSpPr>
                        <a:cNvPr id="24" name="Textfeld 23"/>
                        <a:cNvSpPr txBox="1"/>
                      </a:nvSpPr>
                      <a:spPr>
                        <a:xfrm>
                          <a:off x="2195736" y="5085184"/>
                          <a:ext cx="100811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OA </a:t>
                            </a:r>
                            <a:r>
                              <a:rPr lang="de-DE" sz="1400" dirty="0" err="1" smtClean="0"/>
                              <a:t>Policy</a:t>
                            </a:r>
                            <a:endParaRPr lang="de-DE" sz="1400" dirty="0"/>
                          </a:p>
                        </a:txBody>
                        <a:useSpRect/>
                      </a:txSp>
                    </a:sp>
                  </a:grpSp>
                </lc:lockedCanvas>
              </a:graphicData>
            </a:graphic>
          </wp:anchor>
        </w:drawing>
      </w:r>
      <w:r w:rsidR="00CA0909" w:rsidRPr="00111F8B">
        <w:rPr>
          <w:b/>
          <w:sz w:val="24"/>
          <w:szCs w:val="24"/>
          <w:u w:val="single"/>
          <w:lang w:val="en-US"/>
        </w:rPr>
        <w:t xml:space="preserve">Recommendation: </w:t>
      </w:r>
      <w:r w:rsidR="00CA0909" w:rsidRPr="005D5485">
        <w:rPr>
          <w:b/>
          <w:u w:val="single"/>
          <w:lang w:val="en-US"/>
        </w:rPr>
        <w:t>Scientists of all levels should be encouraged to publish their research results in Open Access</w:t>
      </w:r>
      <w:r w:rsidR="00CA0909">
        <w:rPr>
          <w:b/>
          <w:u w:val="single"/>
          <w:lang w:val="en-US"/>
        </w:rPr>
        <w:t xml:space="preserve">. </w:t>
      </w:r>
    </w:p>
    <w:p w:rsidR="00A31ADD" w:rsidRPr="00A31ADD" w:rsidRDefault="00A31ADD" w:rsidP="00745B91">
      <w:pPr>
        <w:jc w:val="both"/>
        <w:rPr>
          <w:b/>
          <w:u w:val="single"/>
          <w:lang w:val="en-GB"/>
        </w:rPr>
      </w:pPr>
      <w:r w:rsidRPr="00A31ADD">
        <w:rPr>
          <w:rStyle w:val="tlid-translation"/>
          <w:lang w:val="en-GB"/>
        </w:rPr>
        <w:t xml:space="preserve">Since 2010, the University of Bremen pursues an open access strategy. </w:t>
      </w:r>
      <w:r w:rsidR="00527923">
        <w:rPr>
          <w:rStyle w:val="tlid-translation"/>
          <w:lang w:val="en-GB"/>
        </w:rPr>
        <w:t>An open access policy</w:t>
      </w:r>
      <w:r w:rsidRPr="00A31ADD">
        <w:rPr>
          <w:rStyle w:val="tlid-translation"/>
          <w:lang w:val="en-GB"/>
        </w:rPr>
        <w:t xml:space="preserve"> came into force in 2011. This includes the signing of the Berlin Declaration and encourages the scientists of the University of Bremen to pub</w:t>
      </w:r>
      <w:r w:rsidR="00AC2B1A">
        <w:rPr>
          <w:rStyle w:val="tlid-translation"/>
          <w:lang w:val="en-GB"/>
        </w:rPr>
        <w:t>lish their research results in open a</w:t>
      </w:r>
      <w:r w:rsidRPr="00A31ADD">
        <w:rPr>
          <w:rStyle w:val="tlid-translation"/>
          <w:lang w:val="en-GB"/>
        </w:rPr>
        <w:t xml:space="preserve">ccess. </w:t>
      </w:r>
      <w:r w:rsidR="00527923">
        <w:rPr>
          <w:rStyle w:val="tlid-translation"/>
          <w:lang w:val="en-GB"/>
        </w:rPr>
        <w:t>It is not mandatory and</w:t>
      </w:r>
      <w:r w:rsidRPr="00A31ADD">
        <w:rPr>
          <w:rStyle w:val="tlid-translation"/>
          <w:lang w:val="en-GB"/>
        </w:rPr>
        <w:t xml:space="preserve"> the</w:t>
      </w:r>
      <w:r w:rsidR="00527923">
        <w:rPr>
          <w:rStyle w:val="tlid-translation"/>
          <w:lang w:val="en-GB"/>
        </w:rPr>
        <w:t xml:space="preserve"> way of  publication</w:t>
      </w:r>
      <w:r w:rsidRPr="00A31ADD">
        <w:rPr>
          <w:rStyle w:val="tlid-translation"/>
          <w:lang w:val="en-GB"/>
        </w:rPr>
        <w:t xml:space="preserve"> remains the free decision of every scientist.</w:t>
      </w:r>
      <w:r w:rsidR="00745B91">
        <w:rPr>
          <w:rStyle w:val="tlid-translation"/>
          <w:lang w:val="en-GB"/>
        </w:rPr>
        <w:t xml:space="preserve"> </w:t>
      </w:r>
    </w:p>
    <w:p w:rsidR="00CA0909" w:rsidRDefault="00CA0909" w:rsidP="00CA0909">
      <w:pPr>
        <w:rPr>
          <w:b/>
          <w:u w:val="single"/>
          <w:lang w:val="en-US"/>
        </w:rPr>
      </w:pPr>
      <w:r>
        <w:rPr>
          <w:b/>
          <w:u w:val="single"/>
          <w:lang w:val="en-US"/>
        </w:rPr>
        <w:t>Transparency about Open Access support of the library (</w:t>
      </w:r>
      <w:proofErr w:type="spellStart"/>
      <w:r>
        <w:rPr>
          <w:b/>
          <w:u w:val="single"/>
          <w:lang w:val="en-US"/>
        </w:rPr>
        <w:t>SuUB</w:t>
      </w:r>
      <w:proofErr w:type="spellEnd"/>
      <w:r>
        <w:rPr>
          <w:b/>
          <w:u w:val="single"/>
          <w:lang w:val="en-US"/>
        </w:rPr>
        <w:t>)</w:t>
      </w:r>
    </w:p>
    <w:p w:rsidR="00CA0909" w:rsidRPr="00CA0909" w:rsidRDefault="00E174B9" w:rsidP="00CA0909">
      <w:pPr>
        <w:rPr>
          <w:b/>
          <w:bCs/>
          <w:u w:val="single"/>
          <w:lang w:val="en-GB"/>
        </w:rPr>
      </w:pPr>
      <w:r>
        <w:rPr>
          <w:b/>
          <w:bCs/>
          <w:noProof/>
          <w:u w:val="single"/>
          <w:lang w:eastAsia="de-DE"/>
        </w:rPr>
        <w:drawing>
          <wp:anchor distT="0" distB="0" distL="114300" distR="114300" simplePos="0" relativeHeight="251665408" behindDoc="0" locked="0" layoutInCell="1" allowOverlap="1">
            <wp:simplePos x="0" y="0"/>
            <wp:positionH relativeFrom="margin">
              <wp:posOffset>4834255</wp:posOffset>
            </wp:positionH>
            <wp:positionV relativeFrom="margin">
              <wp:posOffset>2586355</wp:posOffset>
            </wp:positionV>
            <wp:extent cx="942975" cy="1266825"/>
            <wp:effectExtent l="19050" t="0" r="0" b="0"/>
            <wp:wrapSquare wrapText="bothSides"/>
            <wp:docPr id="22" name="Objek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0160" cy="1800200"/>
                      <a:chOff x="251520" y="3717033"/>
                      <a:chExt cx="1440160" cy="1800200"/>
                    </a:xfrm>
                  </a:grpSpPr>
                  <a:grpSp>
                    <a:nvGrpSpPr>
                      <a:cNvPr id="28" name="Gruppieren 27"/>
                      <a:cNvGrpSpPr/>
                    </a:nvGrpSpPr>
                    <a:grpSpPr>
                      <a:xfrm>
                        <a:off x="251520" y="3717033"/>
                        <a:ext cx="1440160" cy="1800200"/>
                        <a:chOff x="251520" y="3717033"/>
                        <a:chExt cx="1440160" cy="1800200"/>
                      </a:xfrm>
                    </a:grpSpPr>
                    <a:pic>
                      <a:nvPicPr>
                        <a:cNvPr id="26" name="Grafik 25" descr="OA_Criteria.jpg"/>
                        <a:cNvPicPr>
                          <a:picLocks noChangeAspect="1"/>
                        </a:cNvPicPr>
                      </a:nvPicPr>
                      <a:blipFill>
                        <a:blip r:embed="rId13"/>
                        <a:stretch>
                          <a:fillRect/>
                        </a:stretch>
                      </a:blipFill>
                      <a:spPr>
                        <a:xfrm>
                          <a:off x="251520" y="3717033"/>
                          <a:ext cx="1440160" cy="1800200"/>
                        </a:xfrm>
                        <a:prstGeom prst="rect">
                          <a:avLst/>
                        </a:prstGeom>
                      </a:spPr>
                    </a:pic>
                    <a:sp>
                      <a:nvSpPr>
                        <a:cNvPr id="27" name="Textfeld 26"/>
                        <a:cNvSpPr txBox="1"/>
                      </a:nvSpPr>
                      <a:spPr>
                        <a:xfrm>
                          <a:off x="539552" y="5157192"/>
                          <a:ext cx="100811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OA </a:t>
                            </a:r>
                            <a:r>
                              <a:rPr lang="de-DE" sz="1400" dirty="0" err="1" smtClean="0"/>
                              <a:t>Criteria</a:t>
                            </a:r>
                            <a:endParaRPr lang="de-DE" sz="1400" dirty="0"/>
                          </a:p>
                        </a:txBody>
                        <a:useSpRect/>
                      </a:txSp>
                    </a:sp>
                  </a:grpSp>
                </lc:lockedCanvas>
              </a:graphicData>
            </a:graphic>
          </wp:anchor>
        </w:drawing>
      </w:r>
      <w:r w:rsidR="00CA0909" w:rsidRPr="005D5485">
        <w:rPr>
          <w:b/>
          <w:bCs/>
          <w:u w:val="single"/>
          <w:lang w:val="en-GB"/>
        </w:rPr>
        <w:t xml:space="preserve"> </w:t>
      </w:r>
      <w:r w:rsidR="00CA0909" w:rsidRPr="00CA0909">
        <w:rPr>
          <w:b/>
          <w:bCs/>
          <w:u w:val="single"/>
          <w:lang w:val="en-GB"/>
        </w:rPr>
        <w:t>Recommendation: Scientists should be aware of the costs in publishing in Open Access</w:t>
      </w:r>
      <w:r w:rsidR="00CA0909">
        <w:rPr>
          <w:b/>
          <w:bCs/>
          <w:u w:val="single"/>
          <w:lang w:val="en-GB"/>
        </w:rPr>
        <w:t xml:space="preserve"> and the financial support of the library</w:t>
      </w:r>
      <w:r w:rsidR="00CA0909" w:rsidRPr="00CA0909">
        <w:rPr>
          <w:b/>
          <w:bCs/>
          <w:u w:val="single"/>
          <w:lang w:val="en-GB"/>
        </w:rPr>
        <w:t>.</w:t>
      </w:r>
    </w:p>
    <w:p w:rsidR="001A70F8" w:rsidRDefault="00A31ADD" w:rsidP="00E174B9">
      <w:pPr>
        <w:jc w:val="both"/>
        <w:rPr>
          <w:rStyle w:val="tlid-translation"/>
          <w:lang w:val="en-GB"/>
        </w:rPr>
      </w:pPr>
      <w:r w:rsidRPr="00A31ADD">
        <w:rPr>
          <w:rStyle w:val="tlid-translation"/>
          <w:lang w:val="en-GB"/>
        </w:rPr>
        <w:t xml:space="preserve">Depending on the length and the selected journal, the costs for an open access publication </w:t>
      </w:r>
      <w:r w:rsidR="00527923">
        <w:rPr>
          <w:rStyle w:val="tlid-translation"/>
          <w:lang w:val="en-GB"/>
        </w:rPr>
        <w:t xml:space="preserve">are </w:t>
      </w:r>
      <w:r w:rsidRPr="00A31ADD">
        <w:rPr>
          <w:rStyle w:val="tlid-translation"/>
          <w:lang w:val="en-GB"/>
        </w:rPr>
        <w:t>between 3</w:t>
      </w:r>
      <w:r w:rsidR="00527923">
        <w:rPr>
          <w:rStyle w:val="tlid-translation"/>
          <w:lang w:val="en-GB"/>
        </w:rPr>
        <w:t>00 a</w:t>
      </w:r>
      <w:r w:rsidR="008F2490">
        <w:rPr>
          <w:rStyle w:val="tlid-translation"/>
          <w:lang w:val="en-GB"/>
        </w:rPr>
        <w:t>nd 3000 €, which are paid</w:t>
      </w:r>
      <w:r w:rsidR="00527923">
        <w:rPr>
          <w:rStyle w:val="tlid-translation"/>
          <w:lang w:val="en-GB"/>
        </w:rPr>
        <w:t xml:space="preserve"> by</w:t>
      </w:r>
      <w:r w:rsidRPr="00A31ADD">
        <w:rPr>
          <w:rStyle w:val="tlid-translation"/>
          <w:lang w:val="en-GB"/>
        </w:rPr>
        <w:t xml:space="preserve"> the author of the publication. The </w:t>
      </w:r>
      <w:r w:rsidR="00527923">
        <w:rPr>
          <w:rStyle w:val="tlid-translation"/>
          <w:lang w:val="en-GB"/>
        </w:rPr>
        <w:t>library of the University establishes</w:t>
      </w:r>
      <w:r w:rsidRPr="00A31ADD">
        <w:rPr>
          <w:rStyle w:val="tlid-translation"/>
          <w:lang w:val="en-GB"/>
        </w:rPr>
        <w:t xml:space="preserve"> </w:t>
      </w:r>
      <w:r w:rsidR="00527923">
        <w:rPr>
          <w:rStyle w:val="tlid-translation"/>
          <w:lang w:val="en-GB"/>
        </w:rPr>
        <w:t>an OA publication fund</w:t>
      </w:r>
      <w:r w:rsidRPr="00A31ADD">
        <w:rPr>
          <w:rStyle w:val="tlid-translation"/>
          <w:lang w:val="en-GB"/>
        </w:rPr>
        <w:t xml:space="preserve"> to cover these costs. </w:t>
      </w:r>
      <w:r w:rsidR="001A70F8" w:rsidRPr="001A70F8">
        <w:rPr>
          <w:rStyle w:val="tlid-translation"/>
          <w:lang w:val="en-GB"/>
        </w:rPr>
        <w:t>Subject to certain criteria, the costs of an open access publication for university mem</w:t>
      </w:r>
      <w:r w:rsidR="008F2490">
        <w:rPr>
          <w:rStyle w:val="tlid-translation"/>
          <w:lang w:val="en-GB"/>
        </w:rPr>
        <w:t>bers can be covered</w:t>
      </w:r>
      <w:r w:rsidR="001A70F8" w:rsidRPr="001A70F8">
        <w:rPr>
          <w:rStyle w:val="tlid-translation"/>
          <w:lang w:val="en-GB"/>
        </w:rPr>
        <w:t>.</w:t>
      </w:r>
      <w:r w:rsidR="00745B91">
        <w:rPr>
          <w:rStyle w:val="tlid-translation"/>
          <w:lang w:val="en-GB"/>
        </w:rPr>
        <w:t xml:space="preserve"> </w:t>
      </w:r>
    </w:p>
    <w:p w:rsidR="00F65823" w:rsidRDefault="00E174B9" w:rsidP="00F65823">
      <w:pPr>
        <w:rPr>
          <w:b/>
          <w:u w:val="single"/>
          <w:lang w:val="en-US"/>
        </w:rPr>
      </w:pPr>
      <w:r>
        <w:rPr>
          <w:b/>
          <w:noProof/>
          <w:sz w:val="24"/>
          <w:szCs w:val="24"/>
          <w:u w:val="single"/>
          <w:lang w:eastAsia="de-DE"/>
        </w:rPr>
        <w:drawing>
          <wp:anchor distT="0" distB="0" distL="114300" distR="114300" simplePos="0" relativeHeight="251666432" behindDoc="0" locked="0" layoutInCell="1" allowOverlap="1">
            <wp:simplePos x="0" y="0"/>
            <wp:positionH relativeFrom="margin">
              <wp:posOffset>4853305</wp:posOffset>
            </wp:positionH>
            <wp:positionV relativeFrom="margin">
              <wp:posOffset>4148455</wp:posOffset>
            </wp:positionV>
            <wp:extent cx="923925" cy="1266825"/>
            <wp:effectExtent l="19050" t="0" r="0" b="0"/>
            <wp:wrapSquare wrapText="bothSides"/>
            <wp:docPr id="23" name="Objek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1639" cy="1872208"/>
                      <a:chOff x="5148063" y="3645024"/>
                      <a:chExt cx="1441639" cy="1872208"/>
                    </a:xfrm>
                  </a:grpSpPr>
                  <a:grpSp>
                    <a:nvGrpSpPr>
                      <a:cNvPr id="31" name="Gruppieren 30"/>
                      <a:cNvGrpSpPr/>
                    </a:nvGrpSpPr>
                    <a:grpSpPr>
                      <a:xfrm>
                        <a:off x="5148063" y="3645024"/>
                        <a:ext cx="1441639" cy="1872208"/>
                        <a:chOff x="5148063" y="3645024"/>
                        <a:chExt cx="1441639" cy="1872208"/>
                      </a:xfrm>
                    </a:grpSpPr>
                    <a:pic>
                      <a:nvPicPr>
                        <a:cNvPr id="29" name="Grafik 28" descr="ELIB.jpg"/>
                        <a:cNvPicPr>
                          <a:picLocks noChangeAspect="1"/>
                        </a:cNvPicPr>
                      </a:nvPicPr>
                      <a:blipFill>
                        <a:blip r:embed="rId14"/>
                        <a:stretch>
                          <a:fillRect/>
                        </a:stretch>
                      </a:blipFill>
                      <a:spPr>
                        <a:xfrm>
                          <a:off x="5148063" y="3645024"/>
                          <a:ext cx="1441639" cy="1872208"/>
                        </a:xfrm>
                        <a:prstGeom prst="rect">
                          <a:avLst/>
                        </a:prstGeom>
                      </a:spPr>
                    </a:pic>
                    <a:sp>
                      <a:nvSpPr>
                        <a:cNvPr id="30" name="Textfeld 29"/>
                        <a:cNvSpPr txBox="1"/>
                      </a:nvSpPr>
                      <a:spPr>
                        <a:xfrm>
                          <a:off x="5508104" y="5157192"/>
                          <a:ext cx="1008112" cy="307777"/>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ELIB </a:t>
                            </a:r>
                            <a:r>
                              <a:rPr lang="de-DE" sz="1400" dirty="0" err="1" smtClean="0"/>
                              <a:t>SuUB</a:t>
                            </a:r>
                            <a:endParaRPr lang="de-DE" sz="1400" dirty="0"/>
                          </a:p>
                        </a:txBody>
                        <a:useSpRect/>
                      </a:txSp>
                    </a:sp>
                  </a:grpSp>
                </lc:lockedCanvas>
              </a:graphicData>
            </a:graphic>
          </wp:anchor>
        </w:drawing>
      </w:r>
      <w:r w:rsidR="00F65823" w:rsidRPr="00111F8B">
        <w:rPr>
          <w:b/>
          <w:sz w:val="24"/>
          <w:szCs w:val="24"/>
          <w:u w:val="single"/>
          <w:lang w:val="en-US"/>
        </w:rPr>
        <w:t>Recommendation:</w:t>
      </w:r>
      <w:r w:rsidR="00F65823" w:rsidRPr="00F65823">
        <w:rPr>
          <w:b/>
          <w:u w:val="single"/>
          <w:lang w:val="en-US"/>
        </w:rPr>
        <w:t xml:space="preserve"> Scientists should be aware of the ELIB </w:t>
      </w:r>
      <w:proofErr w:type="spellStart"/>
      <w:r w:rsidR="00F65823" w:rsidRPr="00F65823">
        <w:rPr>
          <w:b/>
          <w:u w:val="single"/>
          <w:lang w:val="en-US"/>
        </w:rPr>
        <w:t>SuUB</w:t>
      </w:r>
      <w:proofErr w:type="spellEnd"/>
      <w:r w:rsidR="00F65823" w:rsidRPr="00F65823">
        <w:rPr>
          <w:b/>
          <w:u w:val="single"/>
          <w:lang w:val="en-US"/>
        </w:rPr>
        <w:t xml:space="preserve"> Bremen Repository.</w:t>
      </w:r>
      <w:r w:rsidR="00CA0909">
        <w:rPr>
          <w:b/>
          <w:u w:val="single"/>
          <w:lang w:val="en-US"/>
        </w:rPr>
        <w:t xml:space="preserve"> </w:t>
      </w:r>
    </w:p>
    <w:p w:rsidR="00A31ADD" w:rsidRPr="00A31ADD" w:rsidRDefault="00A31ADD" w:rsidP="00E174B9">
      <w:pPr>
        <w:jc w:val="both"/>
        <w:rPr>
          <w:b/>
          <w:sz w:val="24"/>
          <w:szCs w:val="24"/>
          <w:u w:val="single"/>
          <w:lang w:val="en-GB"/>
        </w:rPr>
      </w:pPr>
      <w:r w:rsidRPr="00A31ADD">
        <w:rPr>
          <w:rStyle w:val="tlid-translation"/>
          <w:lang w:val="en-GB"/>
        </w:rPr>
        <w:t>The Bremen State and University Library</w:t>
      </w:r>
      <w:r w:rsidR="008F2490">
        <w:rPr>
          <w:rStyle w:val="tlid-translation"/>
          <w:lang w:val="en-GB"/>
        </w:rPr>
        <w:t xml:space="preserve"> has its own repository where</w:t>
      </w:r>
      <w:r w:rsidRPr="00A31ADD">
        <w:rPr>
          <w:rStyle w:val="tlid-translation"/>
          <w:lang w:val="en-GB"/>
        </w:rPr>
        <w:t xml:space="preserve"> members and alumni of the university can publish their work freely and free of charge worldwide (ELIB </w:t>
      </w:r>
      <w:proofErr w:type="spellStart"/>
      <w:r w:rsidRPr="00A31ADD">
        <w:rPr>
          <w:rStyle w:val="tlid-translation"/>
          <w:lang w:val="en-GB"/>
        </w:rPr>
        <w:t>SuUB</w:t>
      </w:r>
      <w:proofErr w:type="spellEnd"/>
      <w:r w:rsidRPr="00A31ADD">
        <w:rPr>
          <w:rStyle w:val="tlid-translation"/>
          <w:lang w:val="en-GB"/>
        </w:rPr>
        <w:t xml:space="preserve"> Bremen Repository).</w:t>
      </w:r>
      <w:r w:rsidR="00E174B9">
        <w:rPr>
          <w:rStyle w:val="tlid-translation"/>
          <w:lang w:val="en-GB"/>
        </w:rPr>
        <w:t xml:space="preserve"> </w:t>
      </w:r>
    </w:p>
    <w:p w:rsidR="00A31ADD" w:rsidRPr="005D5485" w:rsidRDefault="00A31ADD" w:rsidP="00A31ADD">
      <w:pPr>
        <w:jc w:val="both"/>
        <w:rPr>
          <w:b/>
          <w:u w:val="single"/>
          <w:lang w:val="en-US"/>
        </w:rPr>
      </w:pPr>
      <w:r w:rsidRPr="00111F8B">
        <w:rPr>
          <w:b/>
          <w:sz w:val="24"/>
          <w:szCs w:val="24"/>
          <w:u w:val="single"/>
          <w:lang w:val="en-US"/>
        </w:rPr>
        <w:t>Recommendation:</w:t>
      </w:r>
      <w:r w:rsidRPr="005D5485">
        <w:rPr>
          <w:b/>
          <w:u w:val="single"/>
          <w:lang w:val="en-US"/>
        </w:rPr>
        <w:t xml:space="preserve"> Scientists should be aware of the support by the university library for publishing in Open Access. </w:t>
      </w:r>
    </w:p>
    <w:p w:rsidR="00A31ADD" w:rsidRDefault="00A31ADD" w:rsidP="00CA0909">
      <w:pPr>
        <w:jc w:val="both"/>
        <w:rPr>
          <w:rStyle w:val="tlid-translation"/>
          <w:lang w:val="en-GB"/>
        </w:rPr>
      </w:pPr>
      <w:r w:rsidRPr="00A31ADD">
        <w:rPr>
          <w:rStyle w:val="tlid-translation"/>
          <w:lang w:val="en-GB"/>
        </w:rPr>
        <w:t>The State and University Library Bremen provides information on Open Access in general and on the procedure of OA publishing on its website. As a further service, the library regularly offers information events</w:t>
      </w:r>
      <w:r w:rsidR="001A70F8">
        <w:rPr>
          <w:rStyle w:val="tlid-translation"/>
          <w:lang w:val="en-GB"/>
        </w:rPr>
        <w:t xml:space="preserve"> on open access via the </w:t>
      </w:r>
      <w:r w:rsidR="00AC2B1A">
        <w:rPr>
          <w:rStyle w:val="tlid-translation"/>
          <w:lang w:val="en-GB"/>
        </w:rPr>
        <w:t xml:space="preserve">support </w:t>
      </w:r>
      <w:proofErr w:type="spellStart"/>
      <w:r w:rsidR="00AC2B1A">
        <w:rPr>
          <w:rStyle w:val="tlid-translation"/>
          <w:lang w:val="en-GB"/>
        </w:rPr>
        <w:t>center</w:t>
      </w:r>
      <w:proofErr w:type="spellEnd"/>
      <w:r w:rsidR="00AC2B1A">
        <w:rPr>
          <w:rStyle w:val="tlid-translation"/>
          <w:lang w:val="en-GB"/>
        </w:rPr>
        <w:t xml:space="preserve"> BYRD and the Faculty </w:t>
      </w:r>
      <w:r w:rsidRPr="00A31ADD">
        <w:rPr>
          <w:rStyle w:val="tlid-translation"/>
          <w:lang w:val="en-GB"/>
        </w:rPr>
        <w:t>2 (see Starbios2 training modules and BYRD events).</w:t>
      </w:r>
      <w:r w:rsidR="00A75F02">
        <w:rPr>
          <w:rStyle w:val="tlid-translation"/>
          <w:lang w:val="en-GB"/>
        </w:rPr>
        <w:t xml:space="preserve"> </w:t>
      </w:r>
    </w:p>
    <w:p w:rsidR="00A75F02" w:rsidRPr="00A31ADD" w:rsidRDefault="00E174B9" w:rsidP="00CA0909">
      <w:pPr>
        <w:jc w:val="both"/>
        <w:rPr>
          <w:b/>
          <w:sz w:val="24"/>
          <w:szCs w:val="24"/>
          <w:u w:val="single"/>
          <w:lang w:val="en-GB"/>
        </w:rPr>
      </w:pPr>
      <w:r>
        <w:rPr>
          <w:b/>
          <w:noProof/>
          <w:sz w:val="24"/>
          <w:szCs w:val="24"/>
          <w:u w:val="single"/>
          <w:lang w:eastAsia="de-DE"/>
        </w:rPr>
        <w:drawing>
          <wp:anchor distT="0" distB="0" distL="114300" distR="114300" simplePos="0" relativeHeight="251669504" behindDoc="0" locked="0" layoutInCell="1" allowOverlap="1">
            <wp:simplePos x="0" y="0"/>
            <wp:positionH relativeFrom="margin">
              <wp:posOffset>3376930</wp:posOffset>
            </wp:positionH>
            <wp:positionV relativeFrom="margin">
              <wp:posOffset>6891655</wp:posOffset>
            </wp:positionV>
            <wp:extent cx="971550" cy="1266825"/>
            <wp:effectExtent l="19050" t="0" r="0" b="0"/>
            <wp:wrapSquare wrapText="bothSides"/>
            <wp:docPr id="27" name="Objek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1638" cy="1891372"/>
                      <a:chOff x="251520" y="1700808"/>
                      <a:chExt cx="1441638" cy="1891372"/>
                    </a:xfrm>
                  </a:grpSpPr>
                  <a:grpSp>
                    <a:nvGrpSpPr>
                      <a:cNvPr id="40" name="Gruppieren 39"/>
                      <a:cNvGrpSpPr/>
                    </a:nvGrpSpPr>
                    <a:grpSpPr>
                      <a:xfrm>
                        <a:off x="251520" y="1700808"/>
                        <a:ext cx="1441638" cy="1891372"/>
                        <a:chOff x="251520" y="1700808"/>
                        <a:chExt cx="1441638" cy="1891372"/>
                      </a:xfrm>
                    </a:grpSpPr>
                    <a:pic>
                      <a:nvPicPr>
                        <a:cNvPr id="38" name="Grafik 37" descr="BYRD.jpg"/>
                        <a:cNvPicPr>
                          <a:picLocks noChangeAspect="1"/>
                        </a:cNvPicPr>
                      </a:nvPicPr>
                      <a:blipFill>
                        <a:blip r:embed="rId15"/>
                        <a:stretch>
                          <a:fillRect/>
                        </a:stretch>
                      </a:blipFill>
                      <a:spPr>
                        <a:xfrm>
                          <a:off x="251520" y="1700808"/>
                          <a:ext cx="1441638" cy="1872208"/>
                        </a:xfrm>
                        <a:prstGeom prst="rect">
                          <a:avLst/>
                        </a:prstGeom>
                      </a:spPr>
                    </a:pic>
                    <a:sp>
                      <a:nvSpPr>
                        <a:cNvPr id="39" name="Textfeld 38"/>
                        <a:cNvSpPr txBox="1"/>
                      </a:nvSpPr>
                      <a:spPr>
                        <a:xfrm>
                          <a:off x="683568" y="3068960"/>
                          <a:ext cx="936104" cy="523220"/>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400" dirty="0" smtClean="0"/>
                              <a:t>BYRD Events</a:t>
                            </a:r>
                            <a:endParaRPr lang="de-DE" sz="1400" dirty="0"/>
                          </a:p>
                        </a:txBody>
                        <a:useSpRect/>
                      </a:txSp>
                    </a:sp>
                  </a:grpSp>
                </lc:lockedCanvas>
              </a:graphicData>
            </a:graphic>
          </wp:anchor>
        </w:drawing>
      </w:r>
      <w:r>
        <w:rPr>
          <w:b/>
          <w:noProof/>
          <w:sz w:val="24"/>
          <w:szCs w:val="24"/>
          <w:u w:val="single"/>
          <w:lang w:eastAsia="de-DE"/>
        </w:rPr>
        <w:drawing>
          <wp:anchor distT="0" distB="0" distL="114300" distR="114300" simplePos="0" relativeHeight="251668480" behindDoc="0" locked="0" layoutInCell="1" allowOverlap="1">
            <wp:simplePos x="0" y="0"/>
            <wp:positionH relativeFrom="margin">
              <wp:posOffset>2243455</wp:posOffset>
            </wp:positionH>
            <wp:positionV relativeFrom="margin">
              <wp:posOffset>6891655</wp:posOffset>
            </wp:positionV>
            <wp:extent cx="923925" cy="1266825"/>
            <wp:effectExtent l="19050" t="0" r="0" b="0"/>
            <wp:wrapSquare wrapText="bothSides"/>
            <wp:docPr id="26" name="Objek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68152" cy="1872208"/>
                      <a:chOff x="6660233" y="3645024"/>
                      <a:chExt cx="1368152" cy="1872208"/>
                    </a:xfrm>
                  </a:grpSpPr>
                  <a:grpSp>
                    <a:nvGrpSpPr>
                      <a:cNvPr id="37" name="Gruppieren 36"/>
                      <a:cNvGrpSpPr/>
                    </a:nvGrpSpPr>
                    <a:grpSpPr>
                      <a:xfrm>
                        <a:off x="6660233" y="3645024"/>
                        <a:ext cx="1368152" cy="1872208"/>
                        <a:chOff x="6660233" y="3645024"/>
                        <a:chExt cx="1368152" cy="1872208"/>
                      </a:xfrm>
                    </a:grpSpPr>
                    <a:pic>
                      <a:nvPicPr>
                        <a:cNvPr id="35" name="Grafik 34" descr="Starbios2_Training_Moduls.jpg"/>
                        <a:cNvPicPr>
                          <a:picLocks noChangeAspect="1"/>
                        </a:cNvPicPr>
                      </a:nvPicPr>
                      <a:blipFill>
                        <a:blip r:embed="rId16"/>
                        <a:stretch>
                          <a:fillRect/>
                        </a:stretch>
                      </a:blipFill>
                      <a:spPr>
                        <a:xfrm>
                          <a:off x="6660233" y="3645024"/>
                          <a:ext cx="1368152" cy="1872208"/>
                        </a:xfrm>
                        <a:prstGeom prst="rect">
                          <a:avLst/>
                        </a:prstGeom>
                      </a:spPr>
                    </a:pic>
                    <a:sp>
                      <a:nvSpPr>
                        <a:cNvPr id="36" name="Textfeld 35"/>
                        <a:cNvSpPr txBox="1"/>
                      </a:nvSpPr>
                      <a:spPr>
                        <a:xfrm>
                          <a:off x="7020272" y="5013176"/>
                          <a:ext cx="1008112" cy="461665"/>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Training Moduls</a:t>
                            </a:r>
                            <a:endParaRPr lang="de-DE" sz="1200" dirty="0"/>
                          </a:p>
                        </a:txBody>
                        <a:useSpRect/>
                      </a:txSp>
                    </a:sp>
                  </a:grpSp>
                </lc:lockedCanvas>
              </a:graphicData>
            </a:graphic>
          </wp:anchor>
        </w:drawing>
      </w:r>
      <w:r>
        <w:rPr>
          <w:b/>
          <w:noProof/>
          <w:sz w:val="24"/>
          <w:szCs w:val="24"/>
          <w:u w:val="single"/>
          <w:lang w:eastAsia="de-DE"/>
        </w:rPr>
        <w:drawing>
          <wp:anchor distT="0" distB="0" distL="114300" distR="114300" simplePos="0" relativeHeight="251667456" behindDoc="0" locked="0" layoutInCell="1" allowOverlap="1">
            <wp:simplePos x="0" y="0"/>
            <wp:positionH relativeFrom="margin">
              <wp:posOffset>1100455</wp:posOffset>
            </wp:positionH>
            <wp:positionV relativeFrom="margin">
              <wp:posOffset>6891655</wp:posOffset>
            </wp:positionV>
            <wp:extent cx="923925" cy="1266825"/>
            <wp:effectExtent l="19050" t="0" r="0" b="0"/>
            <wp:wrapSquare wrapText="bothSides"/>
            <wp:docPr id="25" name="Objek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09657" cy="1872208"/>
                      <a:chOff x="6660232" y="1628800"/>
                      <a:chExt cx="1309657" cy="1872208"/>
                    </a:xfrm>
                  </a:grpSpPr>
                  <a:grpSp>
                    <a:nvGrpSpPr>
                      <a:cNvPr id="34" name="Gruppieren 33"/>
                      <a:cNvGrpSpPr/>
                    </a:nvGrpSpPr>
                    <a:grpSpPr>
                      <a:xfrm>
                        <a:off x="6660232" y="1628800"/>
                        <a:ext cx="1309657" cy="1872208"/>
                        <a:chOff x="6660232" y="1628800"/>
                        <a:chExt cx="1309657" cy="1872208"/>
                      </a:xfrm>
                    </a:grpSpPr>
                    <a:pic>
                      <a:nvPicPr>
                        <a:cNvPr id="32" name="Grafik 31" descr="OA_Website_SuUB.jpg"/>
                        <a:cNvPicPr>
                          <a:picLocks noChangeAspect="1"/>
                        </a:cNvPicPr>
                      </a:nvPicPr>
                      <a:blipFill>
                        <a:blip r:embed="rId17"/>
                        <a:stretch>
                          <a:fillRect/>
                        </a:stretch>
                      </a:blipFill>
                      <a:spPr>
                        <a:xfrm>
                          <a:off x="6660232" y="1628800"/>
                          <a:ext cx="1309657" cy="1872208"/>
                        </a:xfrm>
                        <a:prstGeom prst="rect">
                          <a:avLst/>
                        </a:prstGeom>
                      </a:spPr>
                    </a:pic>
                    <a:sp>
                      <a:nvSpPr>
                        <a:cNvPr id="33" name="Textfeld 32"/>
                        <a:cNvSpPr txBox="1"/>
                      </a:nvSpPr>
                      <a:spPr>
                        <a:xfrm>
                          <a:off x="6948264" y="3140968"/>
                          <a:ext cx="936104" cy="276999"/>
                        </a:xfrm>
                        <a:prstGeom prst="rect">
                          <a:avLst/>
                        </a:prstGeom>
                        <a:noFill/>
                      </a:spPr>
                      <a:txSp>
                        <a:txBody>
                          <a:bodyPr wrap="square" rtlCol="0">
                            <a:spAutoFit/>
                          </a:bodyPr>
                          <a:lstStyle>
                            <a:defPPr>
                              <a:defRPr lang="de-DE"/>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de-DE" sz="1200" dirty="0" smtClean="0"/>
                              <a:t>OA Website</a:t>
                            </a:r>
                            <a:endParaRPr lang="de-DE" sz="1200" dirty="0"/>
                          </a:p>
                        </a:txBody>
                        <a:useSpRect/>
                      </a:txSp>
                    </a:sp>
                  </a:grpSp>
                </lc:lockedCanvas>
              </a:graphicData>
            </a:graphic>
          </wp:anchor>
        </w:drawing>
      </w:r>
    </w:p>
    <w:p w:rsidR="00A75F02" w:rsidRDefault="00A75F02" w:rsidP="00CA0909">
      <w:pPr>
        <w:jc w:val="both"/>
        <w:rPr>
          <w:b/>
          <w:sz w:val="24"/>
          <w:szCs w:val="24"/>
          <w:u w:val="single"/>
          <w:lang w:val="en-US"/>
        </w:rPr>
      </w:pPr>
    </w:p>
    <w:p w:rsidR="00A75F02" w:rsidRDefault="00A75F02" w:rsidP="00CA0909">
      <w:pPr>
        <w:jc w:val="both"/>
        <w:rPr>
          <w:b/>
          <w:sz w:val="24"/>
          <w:szCs w:val="24"/>
          <w:u w:val="single"/>
          <w:lang w:val="en-US"/>
        </w:rPr>
      </w:pPr>
    </w:p>
    <w:p w:rsidR="00A75F02" w:rsidRDefault="00A75F02" w:rsidP="00CA0909">
      <w:pPr>
        <w:jc w:val="both"/>
        <w:rPr>
          <w:b/>
          <w:sz w:val="24"/>
          <w:szCs w:val="24"/>
          <w:u w:val="single"/>
          <w:lang w:val="en-US"/>
        </w:rPr>
      </w:pPr>
    </w:p>
    <w:p w:rsidR="00A75F02" w:rsidRDefault="00A75F02" w:rsidP="00CA0909">
      <w:pPr>
        <w:jc w:val="both"/>
        <w:rPr>
          <w:b/>
          <w:sz w:val="24"/>
          <w:szCs w:val="24"/>
          <w:u w:val="single"/>
          <w:lang w:val="en-US"/>
        </w:rPr>
      </w:pPr>
    </w:p>
    <w:p w:rsidR="00A75F02" w:rsidRDefault="00A75F02" w:rsidP="00CA0909">
      <w:pPr>
        <w:jc w:val="both"/>
        <w:rPr>
          <w:b/>
          <w:sz w:val="24"/>
          <w:szCs w:val="24"/>
          <w:u w:val="single"/>
          <w:lang w:val="en-US"/>
        </w:rPr>
      </w:pPr>
    </w:p>
    <w:p w:rsidR="00CA0909" w:rsidRPr="005D5485" w:rsidRDefault="00CA0909" w:rsidP="00CA0909">
      <w:pPr>
        <w:jc w:val="both"/>
        <w:rPr>
          <w:b/>
          <w:u w:val="single"/>
          <w:lang w:val="en-US"/>
        </w:rPr>
      </w:pPr>
      <w:r w:rsidRPr="00111F8B">
        <w:rPr>
          <w:b/>
          <w:sz w:val="24"/>
          <w:szCs w:val="24"/>
          <w:u w:val="single"/>
          <w:lang w:val="en-US"/>
        </w:rPr>
        <w:lastRenderedPageBreak/>
        <w:t>Recommendation:</w:t>
      </w:r>
      <w:r>
        <w:rPr>
          <w:b/>
          <w:sz w:val="24"/>
          <w:szCs w:val="24"/>
          <w:u w:val="single"/>
          <w:lang w:val="en-US"/>
        </w:rPr>
        <w:t xml:space="preserve"> </w:t>
      </w:r>
      <w:r w:rsidRPr="005D5485">
        <w:rPr>
          <w:b/>
          <w:u w:val="single"/>
          <w:lang w:val="en-US"/>
        </w:rPr>
        <w:t>Scientists should be aware of the representative of Open Access.</w:t>
      </w:r>
      <w:r w:rsidRPr="005D5485">
        <w:rPr>
          <w:b/>
          <w:bCs/>
          <w:u w:val="single"/>
          <w:lang w:val="en-GB"/>
        </w:rPr>
        <w:t xml:space="preserve"> </w:t>
      </w:r>
    </w:p>
    <w:p w:rsidR="00CA0909" w:rsidRDefault="00A31ADD" w:rsidP="00F65823">
      <w:pPr>
        <w:rPr>
          <w:rStyle w:val="tlid-translation"/>
          <w:lang w:val="en-GB"/>
        </w:rPr>
      </w:pPr>
      <w:r w:rsidRPr="00A31ADD">
        <w:rPr>
          <w:rStyle w:val="tlid-translation"/>
          <w:lang w:val="en-GB"/>
        </w:rPr>
        <w:t>The contact person for open access questions in the library is Benjamin Ahlborn:</w:t>
      </w:r>
      <w:r>
        <w:rPr>
          <w:rStyle w:val="tlid-translation"/>
          <w:lang w:val="en-GB"/>
        </w:rPr>
        <w:t xml:space="preserve"> </w:t>
      </w:r>
    </w:p>
    <w:p w:rsidR="00A31ADD" w:rsidRPr="00AC2B1A" w:rsidRDefault="00AC2B1A" w:rsidP="00A31ADD">
      <w:pPr>
        <w:rPr>
          <w:lang w:val="en-GB"/>
        </w:rPr>
      </w:pPr>
      <w:r w:rsidRPr="00AC2B1A">
        <w:rPr>
          <w:lang w:val="en-GB"/>
        </w:rPr>
        <w:t>Phon</w:t>
      </w:r>
      <w:r>
        <w:rPr>
          <w:lang w:val="en-GB"/>
        </w:rPr>
        <w:t>e</w:t>
      </w:r>
      <w:r w:rsidR="00A31ADD" w:rsidRPr="00AC2B1A">
        <w:rPr>
          <w:lang w:val="en-GB"/>
        </w:rPr>
        <w:t xml:space="preserve"> 0421 218 59440 </w:t>
      </w:r>
      <w:hyperlink r:id="rId18" w:history="1">
        <w:r w:rsidR="00A31ADD" w:rsidRPr="00AC2B1A">
          <w:rPr>
            <w:rStyle w:val="Hyperlink"/>
            <w:lang w:val="en-GB"/>
          </w:rPr>
          <w:t>ahlborn@suub.uni-bremen.de</w:t>
        </w:r>
      </w:hyperlink>
      <w:r w:rsidR="00A31ADD" w:rsidRPr="00AC2B1A">
        <w:rPr>
          <w:lang w:val="en-GB"/>
        </w:rPr>
        <w:t xml:space="preserve"> </w:t>
      </w:r>
    </w:p>
    <w:p w:rsidR="00A31ADD" w:rsidRPr="00AC2B1A" w:rsidRDefault="00AC2B1A" w:rsidP="00A31ADD">
      <w:pPr>
        <w:rPr>
          <w:lang w:val="en-GB"/>
        </w:rPr>
      </w:pPr>
      <w:r w:rsidRPr="00AC2B1A">
        <w:rPr>
          <w:lang w:val="en-GB"/>
        </w:rPr>
        <w:t>Phon</w:t>
      </w:r>
      <w:r>
        <w:rPr>
          <w:lang w:val="en-GB"/>
        </w:rPr>
        <w:t>e</w:t>
      </w:r>
      <w:r w:rsidR="00A31ADD" w:rsidRPr="00AC2B1A">
        <w:rPr>
          <w:lang w:val="en-GB"/>
        </w:rPr>
        <w:t xml:space="preserve"> 0421 218 59415 </w:t>
      </w:r>
      <w:hyperlink r:id="rId19" w:history="1">
        <w:r w:rsidR="00A31ADD" w:rsidRPr="00AC2B1A">
          <w:rPr>
            <w:rStyle w:val="Hyperlink"/>
            <w:lang w:val="en-GB"/>
          </w:rPr>
          <w:t>publizieren@suub.uni-bremen.de</w:t>
        </w:r>
      </w:hyperlink>
    </w:p>
    <w:p w:rsidR="00A31ADD" w:rsidRPr="00AC2B1A" w:rsidRDefault="00A31ADD" w:rsidP="00F65823">
      <w:pPr>
        <w:rPr>
          <w:b/>
          <w:u w:val="single"/>
          <w:lang w:val="en-GB"/>
        </w:rPr>
      </w:pPr>
    </w:p>
    <w:sectPr w:rsidR="00A31ADD" w:rsidRPr="00AC2B1A" w:rsidSect="002F62C4">
      <w:footerReference w:type="default" r:id="rId2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4EF" w:rsidRDefault="00D404EF" w:rsidP="00325ECE">
      <w:pPr>
        <w:spacing w:after="0" w:line="240" w:lineRule="auto"/>
      </w:pPr>
      <w:r>
        <w:separator/>
      </w:r>
    </w:p>
  </w:endnote>
  <w:endnote w:type="continuationSeparator" w:id="0">
    <w:p w:rsidR="00D404EF" w:rsidRDefault="00D404EF" w:rsidP="00325E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4463"/>
      <w:docPartObj>
        <w:docPartGallery w:val="Page Numbers (Bottom of Page)"/>
        <w:docPartUnique/>
      </w:docPartObj>
    </w:sdtPr>
    <w:sdtContent>
      <w:p w:rsidR="00325ECE" w:rsidRDefault="000F75AE">
        <w:pPr>
          <w:pStyle w:val="Fuzeile"/>
          <w:jc w:val="right"/>
        </w:pPr>
        <w:fldSimple w:instr=" PAGE   \* MERGEFORMAT ">
          <w:r w:rsidR="00E174B9">
            <w:rPr>
              <w:noProof/>
            </w:rPr>
            <w:t>3</w:t>
          </w:r>
        </w:fldSimple>
      </w:p>
    </w:sdtContent>
  </w:sdt>
  <w:p w:rsidR="00325ECE" w:rsidRDefault="00325EC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4EF" w:rsidRDefault="00D404EF" w:rsidP="00325ECE">
      <w:pPr>
        <w:spacing w:after="0" w:line="240" w:lineRule="auto"/>
      </w:pPr>
      <w:r>
        <w:separator/>
      </w:r>
    </w:p>
  </w:footnote>
  <w:footnote w:type="continuationSeparator" w:id="0">
    <w:p w:rsidR="00D404EF" w:rsidRDefault="00D404EF" w:rsidP="00325E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3.25pt;height:23.25pt" o:bullet="t">
        <v:imagedata r:id="rId1" o:title="art1E9C"/>
      </v:shape>
    </w:pict>
  </w:numPicBullet>
  <w:abstractNum w:abstractNumId="0">
    <w:nsid w:val="193C5821"/>
    <w:multiLevelType w:val="hybridMultilevel"/>
    <w:tmpl w:val="72F0BA3E"/>
    <w:lvl w:ilvl="0" w:tplc="60AC2006">
      <w:start w:val="1"/>
      <w:numFmt w:val="bullet"/>
      <w:lvlText w:val=""/>
      <w:lvlPicBulletId w:val="0"/>
      <w:lvlJc w:val="left"/>
      <w:pPr>
        <w:tabs>
          <w:tab w:val="num" w:pos="720"/>
        </w:tabs>
        <w:ind w:left="720" w:hanging="360"/>
      </w:pPr>
      <w:rPr>
        <w:rFonts w:ascii="Symbol" w:hAnsi="Symbol" w:hint="default"/>
      </w:rPr>
    </w:lvl>
    <w:lvl w:ilvl="1" w:tplc="EE5607CE">
      <w:start w:val="1841"/>
      <w:numFmt w:val="bullet"/>
      <w:lvlText w:val=""/>
      <w:lvlPicBulletId w:val="0"/>
      <w:lvlJc w:val="left"/>
      <w:pPr>
        <w:tabs>
          <w:tab w:val="num" w:pos="1440"/>
        </w:tabs>
        <w:ind w:left="1440" w:hanging="360"/>
      </w:pPr>
      <w:rPr>
        <w:rFonts w:ascii="Symbol" w:hAnsi="Symbol" w:hint="default"/>
      </w:rPr>
    </w:lvl>
    <w:lvl w:ilvl="2" w:tplc="C288782E" w:tentative="1">
      <w:start w:val="1"/>
      <w:numFmt w:val="bullet"/>
      <w:lvlText w:val=""/>
      <w:lvlPicBulletId w:val="0"/>
      <w:lvlJc w:val="left"/>
      <w:pPr>
        <w:tabs>
          <w:tab w:val="num" w:pos="2160"/>
        </w:tabs>
        <w:ind w:left="2160" w:hanging="360"/>
      </w:pPr>
      <w:rPr>
        <w:rFonts w:ascii="Symbol" w:hAnsi="Symbol" w:hint="default"/>
      </w:rPr>
    </w:lvl>
    <w:lvl w:ilvl="3" w:tplc="06E280D0" w:tentative="1">
      <w:start w:val="1"/>
      <w:numFmt w:val="bullet"/>
      <w:lvlText w:val=""/>
      <w:lvlPicBulletId w:val="0"/>
      <w:lvlJc w:val="left"/>
      <w:pPr>
        <w:tabs>
          <w:tab w:val="num" w:pos="2880"/>
        </w:tabs>
        <w:ind w:left="2880" w:hanging="360"/>
      </w:pPr>
      <w:rPr>
        <w:rFonts w:ascii="Symbol" w:hAnsi="Symbol" w:hint="default"/>
      </w:rPr>
    </w:lvl>
    <w:lvl w:ilvl="4" w:tplc="2FD2EFA8" w:tentative="1">
      <w:start w:val="1"/>
      <w:numFmt w:val="bullet"/>
      <w:lvlText w:val=""/>
      <w:lvlPicBulletId w:val="0"/>
      <w:lvlJc w:val="left"/>
      <w:pPr>
        <w:tabs>
          <w:tab w:val="num" w:pos="3600"/>
        </w:tabs>
        <w:ind w:left="3600" w:hanging="360"/>
      </w:pPr>
      <w:rPr>
        <w:rFonts w:ascii="Symbol" w:hAnsi="Symbol" w:hint="default"/>
      </w:rPr>
    </w:lvl>
    <w:lvl w:ilvl="5" w:tplc="B9B012B4" w:tentative="1">
      <w:start w:val="1"/>
      <w:numFmt w:val="bullet"/>
      <w:lvlText w:val=""/>
      <w:lvlPicBulletId w:val="0"/>
      <w:lvlJc w:val="left"/>
      <w:pPr>
        <w:tabs>
          <w:tab w:val="num" w:pos="4320"/>
        </w:tabs>
        <w:ind w:left="4320" w:hanging="360"/>
      </w:pPr>
      <w:rPr>
        <w:rFonts w:ascii="Symbol" w:hAnsi="Symbol" w:hint="default"/>
      </w:rPr>
    </w:lvl>
    <w:lvl w:ilvl="6" w:tplc="F0684E28" w:tentative="1">
      <w:start w:val="1"/>
      <w:numFmt w:val="bullet"/>
      <w:lvlText w:val=""/>
      <w:lvlPicBulletId w:val="0"/>
      <w:lvlJc w:val="left"/>
      <w:pPr>
        <w:tabs>
          <w:tab w:val="num" w:pos="5040"/>
        </w:tabs>
        <w:ind w:left="5040" w:hanging="360"/>
      </w:pPr>
      <w:rPr>
        <w:rFonts w:ascii="Symbol" w:hAnsi="Symbol" w:hint="default"/>
      </w:rPr>
    </w:lvl>
    <w:lvl w:ilvl="7" w:tplc="B9E29D16" w:tentative="1">
      <w:start w:val="1"/>
      <w:numFmt w:val="bullet"/>
      <w:lvlText w:val=""/>
      <w:lvlPicBulletId w:val="0"/>
      <w:lvlJc w:val="left"/>
      <w:pPr>
        <w:tabs>
          <w:tab w:val="num" w:pos="5760"/>
        </w:tabs>
        <w:ind w:left="5760" w:hanging="360"/>
      </w:pPr>
      <w:rPr>
        <w:rFonts w:ascii="Symbol" w:hAnsi="Symbol" w:hint="default"/>
      </w:rPr>
    </w:lvl>
    <w:lvl w:ilvl="8" w:tplc="F6F6D528"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B9B51A5"/>
    <w:multiLevelType w:val="multilevel"/>
    <w:tmpl w:val="FA2E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901CF2"/>
    <w:multiLevelType w:val="hybridMultilevel"/>
    <w:tmpl w:val="3CA26A82"/>
    <w:lvl w:ilvl="0" w:tplc="82208D74">
      <w:start w:val="1"/>
      <w:numFmt w:val="bullet"/>
      <w:lvlText w:val=""/>
      <w:lvlPicBulletId w:val="0"/>
      <w:lvlJc w:val="left"/>
      <w:pPr>
        <w:tabs>
          <w:tab w:val="num" w:pos="720"/>
        </w:tabs>
        <w:ind w:left="720" w:hanging="360"/>
      </w:pPr>
      <w:rPr>
        <w:rFonts w:ascii="Symbol" w:hAnsi="Symbol" w:hint="default"/>
      </w:rPr>
    </w:lvl>
    <w:lvl w:ilvl="1" w:tplc="152EE7BA">
      <w:start w:val="1841"/>
      <w:numFmt w:val="bullet"/>
      <w:lvlText w:val=""/>
      <w:lvlPicBulletId w:val="0"/>
      <w:lvlJc w:val="left"/>
      <w:pPr>
        <w:tabs>
          <w:tab w:val="num" w:pos="1440"/>
        </w:tabs>
        <w:ind w:left="1440" w:hanging="360"/>
      </w:pPr>
      <w:rPr>
        <w:rFonts w:ascii="Symbol" w:hAnsi="Symbol" w:hint="default"/>
      </w:rPr>
    </w:lvl>
    <w:lvl w:ilvl="2" w:tplc="7CECE2CE" w:tentative="1">
      <w:start w:val="1"/>
      <w:numFmt w:val="bullet"/>
      <w:lvlText w:val=""/>
      <w:lvlPicBulletId w:val="0"/>
      <w:lvlJc w:val="left"/>
      <w:pPr>
        <w:tabs>
          <w:tab w:val="num" w:pos="2160"/>
        </w:tabs>
        <w:ind w:left="2160" w:hanging="360"/>
      </w:pPr>
      <w:rPr>
        <w:rFonts w:ascii="Symbol" w:hAnsi="Symbol" w:hint="default"/>
      </w:rPr>
    </w:lvl>
    <w:lvl w:ilvl="3" w:tplc="BEEE6482" w:tentative="1">
      <w:start w:val="1"/>
      <w:numFmt w:val="bullet"/>
      <w:lvlText w:val=""/>
      <w:lvlPicBulletId w:val="0"/>
      <w:lvlJc w:val="left"/>
      <w:pPr>
        <w:tabs>
          <w:tab w:val="num" w:pos="2880"/>
        </w:tabs>
        <w:ind w:left="2880" w:hanging="360"/>
      </w:pPr>
      <w:rPr>
        <w:rFonts w:ascii="Symbol" w:hAnsi="Symbol" w:hint="default"/>
      </w:rPr>
    </w:lvl>
    <w:lvl w:ilvl="4" w:tplc="589A8C62" w:tentative="1">
      <w:start w:val="1"/>
      <w:numFmt w:val="bullet"/>
      <w:lvlText w:val=""/>
      <w:lvlPicBulletId w:val="0"/>
      <w:lvlJc w:val="left"/>
      <w:pPr>
        <w:tabs>
          <w:tab w:val="num" w:pos="3600"/>
        </w:tabs>
        <w:ind w:left="3600" w:hanging="360"/>
      </w:pPr>
      <w:rPr>
        <w:rFonts w:ascii="Symbol" w:hAnsi="Symbol" w:hint="default"/>
      </w:rPr>
    </w:lvl>
    <w:lvl w:ilvl="5" w:tplc="1C58B6C4" w:tentative="1">
      <w:start w:val="1"/>
      <w:numFmt w:val="bullet"/>
      <w:lvlText w:val=""/>
      <w:lvlPicBulletId w:val="0"/>
      <w:lvlJc w:val="left"/>
      <w:pPr>
        <w:tabs>
          <w:tab w:val="num" w:pos="4320"/>
        </w:tabs>
        <w:ind w:left="4320" w:hanging="360"/>
      </w:pPr>
      <w:rPr>
        <w:rFonts w:ascii="Symbol" w:hAnsi="Symbol" w:hint="default"/>
      </w:rPr>
    </w:lvl>
    <w:lvl w:ilvl="6" w:tplc="0CA8C704" w:tentative="1">
      <w:start w:val="1"/>
      <w:numFmt w:val="bullet"/>
      <w:lvlText w:val=""/>
      <w:lvlPicBulletId w:val="0"/>
      <w:lvlJc w:val="left"/>
      <w:pPr>
        <w:tabs>
          <w:tab w:val="num" w:pos="5040"/>
        </w:tabs>
        <w:ind w:left="5040" w:hanging="360"/>
      </w:pPr>
      <w:rPr>
        <w:rFonts w:ascii="Symbol" w:hAnsi="Symbol" w:hint="default"/>
      </w:rPr>
    </w:lvl>
    <w:lvl w:ilvl="7" w:tplc="82463A46" w:tentative="1">
      <w:start w:val="1"/>
      <w:numFmt w:val="bullet"/>
      <w:lvlText w:val=""/>
      <w:lvlPicBulletId w:val="0"/>
      <w:lvlJc w:val="left"/>
      <w:pPr>
        <w:tabs>
          <w:tab w:val="num" w:pos="5760"/>
        </w:tabs>
        <w:ind w:left="5760" w:hanging="360"/>
      </w:pPr>
      <w:rPr>
        <w:rFonts w:ascii="Symbol" w:hAnsi="Symbol" w:hint="default"/>
      </w:rPr>
    </w:lvl>
    <w:lvl w:ilvl="8" w:tplc="E7DED042"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3E0A450C"/>
    <w:multiLevelType w:val="hybridMultilevel"/>
    <w:tmpl w:val="20780B46"/>
    <w:lvl w:ilvl="0" w:tplc="3C5C01AC">
      <w:start w:val="1"/>
      <w:numFmt w:val="bullet"/>
      <w:lvlText w:val=""/>
      <w:lvlPicBulletId w:val="0"/>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nsid w:val="5BC011F5"/>
    <w:multiLevelType w:val="multilevel"/>
    <w:tmpl w:val="3F24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336AF8"/>
    <w:multiLevelType w:val="multilevel"/>
    <w:tmpl w:val="F6027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F21767"/>
    <w:multiLevelType w:val="hybridMultilevel"/>
    <w:tmpl w:val="0E7E7162"/>
    <w:lvl w:ilvl="0" w:tplc="424E4012">
      <w:start w:val="1"/>
      <w:numFmt w:val="bullet"/>
      <w:lvlText w:val=""/>
      <w:lvlPicBulletId w:val="0"/>
      <w:lvlJc w:val="left"/>
      <w:pPr>
        <w:tabs>
          <w:tab w:val="num" w:pos="720"/>
        </w:tabs>
        <w:ind w:left="720" w:hanging="360"/>
      </w:pPr>
      <w:rPr>
        <w:rFonts w:ascii="Symbol" w:hAnsi="Symbol" w:hint="default"/>
      </w:rPr>
    </w:lvl>
    <w:lvl w:ilvl="1" w:tplc="5C0E0B8E">
      <w:start w:val="1841"/>
      <w:numFmt w:val="bullet"/>
      <w:lvlText w:val=""/>
      <w:lvlPicBulletId w:val="0"/>
      <w:lvlJc w:val="left"/>
      <w:pPr>
        <w:tabs>
          <w:tab w:val="num" w:pos="1440"/>
        </w:tabs>
        <w:ind w:left="1440" w:hanging="360"/>
      </w:pPr>
      <w:rPr>
        <w:rFonts w:ascii="Symbol" w:hAnsi="Symbol" w:hint="default"/>
      </w:rPr>
    </w:lvl>
    <w:lvl w:ilvl="2" w:tplc="888E480A" w:tentative="1">
      <w:start w:val="1"/>
      <w:numFmt w:val="bullet"/>
      <w:lvlText w:val=""/>
      <w:lvlPicBulletId w:val="0"/>
      <w:lvlJc w:val="left"/>
      <w:pPr>
        <w:tabs>
          <w:tab w:val="num" w:pos="2160"/>
        </w:tabs>
        <w:ind w:left="2160" w:hanging="360"/>
      </w:pPr>
      <w:rPr>
        <w:rFonts w:ascii="Symbol" w:hAnsi="Symbol" w:hint="default"/>
      </w:rPr>
    </w:lvl>
    <w:lvl w:ilvl="3" w:tplc="03367530" w:tentative="1">
      <w:start w:val="1"/>
      <w:numFmt w:val="bullet"/>
      <w:lvlText w:val=""/>
      <w:lvlPicBulletId w:val="0"/>
      <w:lvlJc w:val="left"/>
      <w:pPr>
        <w:tabs>
          <w:tab w:val="num" w:pos="2880"/>
        </w:tabs>
        <w:ind w:left="2880" w:hanging="360"/>
      </w:pPr>
      <w:rPr>
        <w:rFonts w:ascii="Symbol" w:hAnsi="Symbol" w:hint="default"/>
      </w:rPr>
    </w:lvl>
    <w:lvl w:ilvl="4" w:tplc="49CC88CE" w:tentative="1">
      <w:start w:val="1"/>
      <w:numFmt w:val="bullet"/>
      <w:lvlText w:val=""/>
      <w:lvlPicBulletId w:val="0"/>
      <w:lvlJc w:val="left"/>
      <w:pPr>
        <w:tabs>
          <w:tab w:val="num" w:pos="3600"/>
        </w:tabs>
        <w:ind w:left="3600" w:hanging="360"/>
      </w:pPr>
      <w:rPr>
        <w:rFonts w:ascii="Symbol" w:hAnsi="Symbol" w:hint="default"/>
      </w:rPr>
    </w:lvl>
    <w:lvl w:ilvl="5" w:tplc="B87E29DC" w:tentative="1">
      <w:start w:val="1"/>
      <w:numFmt w:val="bullet"/>
      <w:lvlText w:val=""/>
      <w:lvlPicBulletId w:val="0"/>
      <w:lvlJc w:val="left"/>
      <w:pPr>
        <w:tabs>
          <w:tab w:val="num" w:pos="4320"/>
        </w:tabs>
        <w:ind w:left="4320" w:hanging="360"/>
      </w:pPr>
      <w:rPr>
        <w:rFonts w:ascii="Symbol" w:hAnsi="Symbol" w:hint="default"/>
      </w:rPr>
    </w:lvl>
    <w:lvl w:ilvl="6" w:tplc="3CEC82FA" w:tentative="1">
      <w:start w:val="1"/>
      <w:numFmt w:val="bullet"/>
      <w:lvlText w:val=""/>
      <w:lvlPicBulletId w:val="0"/>
      <w:lvlJc w:val="left"/>
      <w:pPr>
        <w:tabs>
          <w:tab w:val="num" w:pos="5040"/>
        </w:tabs>
        <w:ind w:left="5040" w:hanging="360"/>
      </w:pPr>
      <w:rPr>
        <w:rFonts w:ascii="Symbol" w:hAnsi="Symbol" w:hint="default"/>
      </w:rPr>
    </w:lvl>
    <w:lvl w:ilvl="7" w:tplc="11D6C136" w:tentative="1">
      <w:start w:val="1"/>
      <w:numFmt w:val="bullet"/>
      <w:lvlText w:val=""/>
      <w:lvlPicBulletId w:val="0"/>
      <w:lvlJc w:val="left"/>
      <w:pPr>
        <w:tabs>
          <w:tab w:val="num" w:pos="5760"/>
        </w:tabs>
        <w:ind w:left="5760" w:hanging="360"/>
      </w:pPr>
      <w:rPr>
        <w:rFonts w:ascii="Symbol" w:hAnsi="Symbol" w:hint="default"/>
      </w:rPr>
    </w:lvl>
    <w:lvl w:ilvl="8" w:tplc="B7A23D42"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6CF536D0"/>
    <w:multiLevelType w:val="hybridMultilevel"/>
    <w:tmpl w:val="32A09A12"/>
    <w:lvl w:ilvl="0" w:tplc="3C5C01AC">
      <w:start w:val="1"/>
      <w:numFmt w:val="bullet"/>
      <w:lvlText w:val=""/>
      <w:lvlPicBulletId w:val="0"/>
      <w:lvlJc w:val="left"/>
      <w:pPr>
        <w:tabs>
          <w:tab w:val="num" w:pos="720"/>
        </w:tabs>
        <w:ind w:left="720" w:hanging="360"/>
      </w:pPr>
      <w:rPr>
        <w:rFonts w:ascii="Symbol" w:hAnsi="Symbol" w:hint="default"/>
      </w:rPr>
    </w:lvl>
    <w:lvl w:ilvl="1" w:tplc="9E441ED6">
      <w:start w:val="1841"/>
      <w:numFmt w:val="bullet"/>
      <w:lvlText w:val=""/>
      <w:lvlPicBulletId w:val="0"/>
      <w:lvlJc w:val="left"/>
      <w:pPr>
        <w:tabs>
          <w:tab w:val="num" w:pos="1440"/>
        </w:tabs>
        <w:ind w:left="1440" w:hanging="360"/>
      </w:pPr>
      <w:rPr>
        <w:rFonts w:ascii="Symbol" w:hAnsi="Symbol" w:hint="default"/>
      </w:rPr>
    </w:lvl>
    <w:lvl w:ilvl="2" w:tplc="577A37BE" w:tentative="1">
      <w:start w:val="1"/>
      <w:numFmt w:val="bullet"/>
      <w:lvlText w:val=""/>
      <w:lvlPicBulletId w:val="0"/>
      <w:lvlJc w:val="left"/>
      <w:pPr>
        <w:tabs>
          <w:tab w:val="num" w:pos="2160"/>
        </w:tabs>
        <w:ind w:left="2160" w:hanging="360"/>
      </w:pPr>
      <w:rPr>
        <w:rFonts w:ascii="Symbol" w:hAnsi="Symbol" w:hint="default"/>
      </w:rPr>
    </w:lvl>
    <w:lvl w:ilvl="3" w:tplc="E1DEAC6E" w:tentative="1">
      <w:start w:val="1"/>
      <w:numFmt w:val="bullet"/>
      <w:lvlText w:val=""/>
      <w:lvlPicBulletId w:val="0"/>
      <w:lvlJc w:val="left"/>
      <w:pPr>
        <w:tabs>
          <w:tab w:val="num" w:pos="2880"/>
        </w:tabs>
        <w:ind w:left="2880" w:hanging="360"/>
      </w:pPr>
      <w:rPr>
        <w:rFonts w:ascii="Symbol" w:hAnsi="Symbol" w:hint="default"/>
      </w:rPr>
    </w:lvl>
    <w:lvl w:ilvl="4" w:tplc="986CE88C" w:tentative="1">
      <w:start w:val="1"/>
      <w:numFmt w:val="bullet"/>
      <w:lvlText w:val=""/>
      <w:lvlPicBulletId w:val="0"/>
      <w:lvlJc w:val="left"/>
      <w:pPr>
        <w:tabs>
          <w:tab w:val="num" w:pos="3600"/>
        </w:tabs>
        <w:ind w:left="3600" w:hanging="360"/>
      </w:pPr>
      <w:rPr>
        <w:rFonts w:ascii="Symbol" w:hAnsi="Symbol" w:hint="default"/>
      </w:rPr>
    </w:lvl>
    <w:lvl w:ilvl="5" w:tplc="D69A52CC" w:tentative="1">
      <w:start w:val="1"/>
      <w:numFmt w:val="bullet"/>
      <w:lvlText w:val=""/>
      <w:lvlPicBulletId w:val="0"/>
      <w:lvlJc w:val="left"/>
      <w:pPr>
        <w:tabs>
          <w:tab w:val="num" w:pos="4320"/>
        </w:tabs>
        <w:ind w:left="4320" w:hanging="360"/>
      </w:pPr>
      <w:rPr>
        <w:rFonts w:ascii="Symbol" w:hAnsi="Symbol" w:hint="default"/>
      </w:rPr>
    </w:lvl>
    <w:lvl w:ilvl="6" w:tplc="D7624C2E" w:tentative="1">
      <w:start w:val="1"/>
      <w:numFmt w:val="bullet"/>
      <w:lvlText w:val=""/>
      <w:lvlPicBulletId w:val="0"/>
      <w:lvlJc w:val="left"/>
      <w:pPr>
        <w:tabs>
          <w:tab w:val="num" w:pos="5040"/>
        </w:tabs>
        <w:ind w:left="5040" w:hanging="360"/>
      </w:pPr>
      <w:rPr>
        <w:rFonts w:ascii="Symbol" w:hAnsi="Symbol" w:hint="default"/>
      </w:rPr>
    </w:lvl>
    <w:lvl w:ilvl="7" w:tplc="ECB2E67C" w:tentative="1">
      <w:start w:val="1"/>
      <w:numFmt w:val="bullet"/>
      <w:lvlText w:val=""/>
      <w:lvlPicBulletId w:val="0"/>
      <w:lvlJc w:val="left"/>
      <w:pPr>
        <w:tabs>
          <w:tab w:val="num" w:pos="5760"/>
        </w:tabs>
        <w:ind w:left="5760" w:hanging="360"/>
      </w:pPr>
      <w:rPr>
        <w:rFonts w:ascii="Symbol" w:hAnsi="Symbol" w:hint="default"/>
      </w:rPr>
    </w:lvl>
    <w:lvl w:ilvl="8" w:tplc="BDA019C2"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71B56C34"/>
    <w:multiLevelType w:val="hybridMultilevel"/>
    <w:tmpl w:val="BF78EBAE"/>
    <w:lvl w:ilvl="0" w:tplc="FF7C0170">
      <w:start w:val="1"/>
      <w:numFmt w:val="bullet"/>
      <w:lvlText w:val=""/>
      <w:lvlPicBulletId w:val="0"/>
      <w:lvlJc w:val="left"/>
      <w:pPr>
        <w:tabs>
          <w:tab w:val="num" w:pos="720"/>
        </w:tabs>
        <w:ind w:left="720" w:hanging="360"/>
      </w:pPr>
      <w:rPr>
        <w:rFonts w:ascii="Symbol" w:hAnsi="Symbol" w:hint="default"/>
      </w:rPr>
    </w:lvl>
    <w:lvl w:ilvl="1" w:tplc="96CEE700">
      <w:start w:val="1841"/>
      <w:numFmt w:val="bullet"/>
      <w:lvlText w:val=""/>
      <w:lvlPicBulletId w:val="0"/>
      <w:lvlJc w:val="left"/>
      <w:pPr>
        <w:tabs>
          <w:tab w:val="num" w:pos="1440"/>
        </w:tabs>
        <w:ind w:left="1440" w:hanging="360"/>
      </w:pPr>
      <w:rPr>
        <w:rFonts w:ascii="Symbol" w:hAnsi="Symbol" w:hint="default"/>
      </w:rPr>
    </w:lvl>
    <w:lvl w:ilvl="2" w:tplc="71E4CE40" w:tentative="1">
      <w:start w:val="1"/>
      <w:numFmt w:val="bullet"/>
      <w:lvlText w:val=""/>
      <w:lvlPicBulletId w:val="0"/>
      <w:lvlJc w:val="left"/>
      <w:pPr>
        <w:tabs>
          <w:tab w:val="num" w:pos="2160"/>
        </w:tabs>
        <w:ind w:left="2160" w:hanging="360"/>
      </w:pPr>
      <w:rPr>
        <w:rFonts w:ascii="Symbol" w:hAnsi="Symbol" w:hint="default"/>
      </w:rPr>
    </w:lvl>
    <w:lvl w:ilvl="3" w:tplc="F4363E40" w:tentative="1">
      <w:start w:val="1"/>
      <w:numFmt w:val="bullet"/>
      <w:lvlText w:val=""/>
      <w:lvlPicBulletId w:val="0"/>
      <w:lvlJc w:val="left"/>
      <w:pPr>
        <w:tabs>
          <w:tab w:val="num" w:pos="2880"/>
        </w:tabs>
        <w:ind w:left="2880" w:hanging="360"/>
      </w:pPr>
      <w:rPr>
        <w:rFonts w:ascii="Symbol" w:hAnsi="Symbol" w:hint="default"/>
      </w:rPr>
    </w:lvl>
    <w:lvl w:ilvl="4" w:tplc="7700A7A6" w:tentative="1">
      <w:start w:val="1"/>
      <w:numFmt w:val="bullet"/>
      <w:lvlText w:val=""/>
      <w:lvlPicBulletId w:val="0"/>
      <w:lvlJc w:val="left"/>
      <w:pPr>
        <w:tabs>
          <w:tab w:val="num" w:pos="3600"/>
        </w:tabs>
        <w:ind w:left="3600" w:hanging="360"/>
      </w:pPr>
      <w:rPr>
        <w:rFonts w:ascii="Symbol" w:hAnsi="Symbol" w:hint="default"/>
      </w:rPr>
    </w:lvl>
    <w:lvl w:ilvl="5" w:tplc="07EA1F02" w:tentative="1">
      <w:start w:val="1"/>
      <w:numFmt w:val="bullet"/>
      <w:lvlText w:val=""/>
      <w:lvlPicBulletId w:val="0"/>
      <w:lvlJc w:val="left"/>
      <w:pPr>
        <w:tabs>
          <w:tab w:val="num" w:pos="4320"/>
        </w:tabs>
        <w:ind w:left="4320" w:hanging="360"/>
      </w:pPr>
      <w:rPr>
        <w:rFonts w:ascii="Symbol" w:hAnsi="Symbol" w:hint="default"/>
      </w:rPr>
    </w:lvl>
    <w:lvl w:ilvl="6" w:tplc="014C3DEA" w:tentative="1">
      <w:start w:val="1"/>
      <w:numFmt w:val="bullet"/>
      <w:lvlText w:val=""/>
      <w:lvlPicBulletId w:val="0"/>
      <w:lvlJc w:val="left"/>
      <w:pPr>
        <w:tabs>
          <w:tab w:val="num" w:pos="5040"/>
        </w:tabs>
        <w:ind w:left="5040" w:hanging="360"/>
      </w:pPr>
      <w:rPr>
        <w:rFonts w:ascii="Symbol" w:hAnsi="Symbol" w:hint="default"/>
      </w:rPr>
    </w:lvl>
    <w:lvl w:ilvl="7" w:tplc="954ADBB0" w:tentative="1">
      <w:start w:val="1"/>
      <w:numFmt w:val="bullet"/>
      <w:lvlText w:val=""/>
      <w:lvlPicBulletId w:val="0"/>
      <w:lvlJc w:val="left"/>
      <w:pPr>
        <w:tabs>
          <w:tab w:val="num" w:pos="5760"/>
        </w:tabs>
        <w:ind w:left="5760" w:hanging="360"/>
      </w:pPr>
      <w:rPr>
        <w:rFonts w:ascii="Symbol" w:hAnsi="Symbol" w:hint="default"/>
      </w:rPr>
    </w:lvl>
    <w:lvl w:ilvl="8" w:tplc="A5C8579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7F54174D"/>
    <w:multiLevelType w:val="multilevel"/>
    <w:tmpl w:val="1AE8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6"/>
  </w:num>
  <w:num w:numId="4">
    <w:abstractNumId w:val="2"/>
  </w:num>
  <w:num w:numId="5">
    <w:abstractNumId w:val="0"/>
  </w:num>
  <w:num w:numId="6">
    <w:abstractNumId w:val="3"/>
  </w:num>
  <w:num w:numId="7">
    <w:abstractNumId w:val="9"/>
  </w:num>
  <w:num w:numId="8">
    <w:abstractNumId w:val="5"/>
  </w:num>
  <w:num w:numId="9">
    <w:abstractNumId w:val="1"/>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1024"/>
  <w:defaultTabStop w:val="708"/>
  <w:hyphenationZone w:val="425"/>
  <w:characterSpacingControl w:val="doNotCompress"/>
  <w:footnotePr>
    <w:footnote w:id="-1"/>
    <w:footnote w:id="0"/>
  </w:footnotePr>
  <w:endnotePr>
    <w:endnote w:id="-1"/>
    <w:endnote w:id="0"/>
  </w:endnotePr>
  <w:compat/>
  <w:rsids>
    <w:rsidRoot w:val="00EB6458"/>
    <w:rsid w:val="0003636F"/>
    <w:rsid w:val="00041B9F"/>
    <w:rsid w:val="0009319D"/>
    <w:rsid w:val="000D3628"/>
    <w:rsid w:val="000F75AE"/>
    <w:rsid w:val="00111F8B"/>
    <w:rsid w:val="00140524"/>
    <w:rsid w:val="00151EBF"/>
    <w:rsid w:val="0017490C"/>
    <w:rsid w:val="001877F4"/>
    <w:rsid w:val="001908A1"/>
    <w:rsid w:val="001A3742"/>
    <w:rsid w:val="001A6A50"/>
    <w:rsid w:val="001A70F8"/>
    <w:rsid w:val="001E0E8B"/>
    <w:rsid w:val="00220191"/>
    <w:rsid w:val="002D2ED4"/>
    <w:rsid w:val="002F62C4"/>
    <w:rsid w:val="00311068"/>
    <w:rsid w:val="00325ECE"/>
    <w:rsid w:val="003273D5"/>
    <w:rsid w:val="00361ECE"/>
    <w:rsid w:val="0036231D"/>
    <w:rsid w:val="0037566C"/>
    <w:rsid w:val="00381AD7"/>
    <w:rsid w:val="003D6E21"/>
    <w:rsid w:val="003F1148"/>
    <w:rsid w:val="004920FA"/>
    <w:rsid w:val="004C6D7B"/>
    <w:rsid w:val="004D0EBE"/>
    <w:rsid w:val="00527923"/>
    <w:rsid w:val="00532122"/>
    <w:rsid w:val="00533776"/>
    <w:rsid w:val="00534C13"/>
    <w:rsid w:val="005459F0"/>
    <w:rsid w:val="00576CD5"/>
    <w:rsid w:val="00594255"/>
    <w:rsid w:val="005A6608"/>
    <w:rsid w:val="005D5485"/>
    <w:rsid w:val="006025FB"/>
    <w:rsid w:val="0070520C"/>
    <w:rsid w:val="0072689C"/>
    <w:rsid w:val="00745B91"/>
    <w:rsid w:val="007512BF"/>
    <w:rsid w:val="00767E31"/>
    <w:rsid w:val="0077253D"/>
    <w:rsid w:val="007861DF"/>
    <w:rsid w:val="007B2FC2"/>
    <w:rsid w:val="007B4976"/>
    <w:rsid w:val="007B5608"/>
    <w:rsid w:val="007D4672"/>
    <w:rsid w:val="007D7140"/>
    <w:rsid w:val="0084129F"/>
    <w:rsid w:val="0087099D"/>
    <w:rsid w:val="008A1067"/>
    <w:rsid w:val="008F2490"/>
    <w:rsid w:val="00905B1A"/>
    <w:rsid w:val="009357E7"/>
    <w:rsid w:val="00A2364E"/>
    <w:rsid w:val="00A244EE"/>
    <w:rsid w:val="00A31ADD"/>
    <w:rsid w:val="00A422B5"/>
    <w:rsid w:val="00A75F02"/>
    <w:rsid w:val="00AC2B1A"/>
    <w:rsid w:val="00AF04C8"/>
    <w:rsid w:val="00B33703"/>
    <w:rsid w:val="00B53126"/>
    <w:rsid w:val="00B722A6"/>
    <w:rsid w:val="00B80B5A"/>
    <w:rsid w:val="00C341C5"/>
    <w:rsid w:val="00C72ABB"/>
    <w:rsid w:val="00CA0909"/>
    <w:rsid w:val="00CC1956"/>
    <w:rsid w:val="00CE5339"/>
    <w:rsid w:val="00D220FD"/>
    <w:rsid w:val="00D404EF"/>
    <w:rsid w:val="00D64878"/>
    <w:rsid w:val="00D842B0"/>
    <w:rsid w:val="00DB6953"/>
    <w:rsid w:val="00DD293E"/>
    <w:rsid w:val="00DF1966"/>
    <w:rsid w:val="00E174B9"/>
    <w:rsid w:val="00E33829"/>
    <w:rsid w:val="00E42157"/>
    <w:rsid w:val="00EB6458"/>
    <w:rsid w:val="00ED4E7A"/>
    <w:rsid w:val="00EF0392"/>
    <w:rsid w:val="00F65823"/>
    <w:rsid w:val="00FE5257"/>
    <w:rsid w:val="00FE539C"/>
    <w:rsid w:val="00FF6DA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490C"/>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EB6458"/>
    <w:rPr>
      <w:b/>
      <w:bCs/>
    </w:rPr>
  </w:style>
  <w:style w:type="character" w:styleId="Hyperlink">
    <w:name w:val="Hyperlink"/>
    <w:basedOn w:val="Absatz-Standardschriftart"/>
    <w:uiPriority w:val="99"/>
    <w:unhideWhenUsed/>
    <w:rsid w:val="00EB6458"/>
    <w:rPr>
      <w:color w:val="0000FF"/>
      <w:u w:val="single"/>
    </w:rPr>
  </w:style>
  <w:style w:type="paragraph" w:styleId="Listenabsatz">
    <w:name w:val="List Paragraph"/>
    <w:basedOn w:val="Standard"/>
    <w:uiPriority w:val="34"/>
    <w:qFormat/>
    <w:rsid w:val="00ED4E7A"/>
    <w:pPr>
      <w:ind w:left="720"/>
      <w:contextualSpacing/>
    </w:pPr>
  </w:style>
  <w:style w:type="paragraph" w:styleId="Sprechblasentext">
    <w:name w:val="Balloon Text"/>
    <w:basedOn w:val="Standard"/>
    <w:link w:val="SprechblasentextZchn"/>
    <w:uiPriority w:val="99"/>
    <w:semiHidden/>
    <w:unhideWhenUsed/>
    <w:rsid w:val="00E338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3829"/>
    <w:rPr>
      <w:rFonts w:ascii="Tahoma" w:hAnsi="Tahoma" w:cs="Tahoma"/>
      <w:sz w:val="16"/>
      <w:szCs w:val="16"/>
    </w:rPr>
  </w:style>
  <w:style w:type="character" w:styleId="BesuchterHyperlink">
    <w:name w:val="FollowedHyperlink"/>
    <w:basedOn w:val="Absatz-Standardschriftart"/>
    <w:uiPriority w:val="99"/>
    <w:semiHidden/>
    <w:unhideWhenUsed/>
    <w:rsid w:val="004D0EBE"/>
    <w:rPr>
      <w:color w:val="800080" w:themeColor="followedHyperlink"/>
      <w:u w:val="single"/>
    </w:rPr>
  </w:style>
  <w:style w:type="paragraph" w:styleId="Kopfzeile">
    <w:name w:val="header"/>
    <w:basedOn w:val="Standard"/>
    <w:link w:val="KopfzeileZchn"/>
    <w:uiPriority w:val="99"/>
    <w:semiHidden/>
    <w:unhideWhenUsed/>
    <w:rsid w:val="00325E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25ECE"/>
  </w:style>
  <w:style w:type="paragraph" w:styleId="Fuzeile">
    <w:name w:val="footer"/>
    <w:basedOn w:val="Standard"/>
    <w:link w:val="FuzeileZchn"/>
    <w:uiPriority w:val="99"/>
    <w:unhideWhenUsed/>
    <w:rsid w:val="00325E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25ECE"/>
  </w:style>
  <w:style w:type="character" w:customStyle="1" w:styleId="tlid-translation">
    <w:name w:val="tlid-translation"/>
    <w:basedOn w:val="Absatz-Standardschriftart"/>
    <w:rsid w:val="00533776"/>
  </w:style>
</w:styles>
</file>

<file path=word/webSettings.xml><?xml version="1.0" encoding="utf-8"?>
<w:webSettings xmlns:r="http://schemas.openxmlformats.org/officeDocument/2006/relationships" xmlns:w="http://schemas.openxmlformats.org/wordprocessingml/2006/main">
  <w:divs>
    <w:div w:id="1225068353">
      <w:bodyDiv w:val="1"/>
      <w:marLeft w:val="0"/>
      <w:marRight w:val="0"/>
      <w:marTop w:val="0"/>
      <w:marBottom w:val="0"/>
      <w:divBdr>
        <w:top w:val="none" w:sz="0" w:space="0" w:color="auto"/>
        <w:left w:val="none" w:sz="0" w:space="0" w:color="auto"/>
        <w:bottom w:val="none" w:sz="0" w:space="0" w:color="auto"/>
        <w:right w:val="none" w:sz="0" w:space="0" w:color="auto"/>
      </w:divBdr>
      <w:divsChild>
        <w:div w:id="380833094">
          <w:marLeft w:val="0"/>
          <w:marRight w:val="0"/>
          <w:marTop w:val="0"/>
          <w:marBottom w:val="0"/>
          <w:divBdr>
            <w:top w:val="none" w:sz="0" w:space="0" w:color="auto"/>
            <w:left w:val="none" w:sz="0" w:space="0" w:color="auto"/>
            <w:bottom w:val="none" w:sz="0" w:space="0" w:color="auto"/>
            <w:right w:val="none" w:sz="0" w:space="0" w:color="auto"/>
          </w:divBdr>
          <w:divsChild>
            <w:div w:id="8396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29982">
      <w:bodyDiv w:val="1"/>
      <w:marLeft w:val="0"/>
      <w:marRight w:val="0"/>
      <w:marTop w:val="0"/>
      <w:marBottom w:val="0"/>
      <w:divBdr>
        <w:top w:val="none" w:sz="0" w:space="0" w:color="auto"/>
        <w:left w:val="none" w:sz="0" w:space="0" w:color="auto"/>
        <w:bottom w:val="none" w:sz="0" w:space="0" w:color="auto"/>
        <w:right w:val="none" w:sz="0" w:space="0" w:color="auto"/>
      </w:divBdr>
      <w:divsChild>
        <w:div w:id="872308408">
          <w:marLeft w:val="720"/>
          <w:marRight w:val="0"/>
          <w:marTop w:val="200"/>
          <w:marBottom w:val="0"/>
          <w:divBdr>
            <w:top w:val="none" w:sz="0" w:space="0" w:color="auto"/>
            <w:left w:val="none" w:sz="0" w:space="0" w:color="auto"/>
            <w:bottom w:val="none" w:sz="0" w:space="0" w:color="auto"/>
            <w:right w:val="none" w:sz="0" w:space="0" w:color="auto"/>
          </w:divBdr>
        </w:div>
        <w:div w:id="1867407186">
          <w:marLeft w:val="1080"/>
          <w:marRight w:val="0"/>
          <w:marTop w:val="100"/>
          <w:marBottom w:val="0"/>
          <w:divBdr>
            <w:top w:val="none" w:sz="0" w:space="0" w:color="auto"/>
            <w:left w:val="none" w:sz="0" w:space="0" w:color="auto"/>
            <w:bottom w:val="none" w:sz="0" w:space="0" w:color="auto"/>
            <w:right w:val="none" w:sz="0" w:space="0" w:color="auto"/>
          </w:divBdr>
        </w:div>
        <w:div w:id="1634865804">
          <w:marLeft w:val="720"/>
          <w:marRight w:val="0"/>
          <w:marTop w:val="200"/>
          <w:marBottom w:val="0"/>
          <w:divBdr>
            <w:top w:val="none" w:sz="0" w:space="0" w:color="auto"/>
            <w:left w:val="none" w:sz="0" w:space="0" w:color="auto"/>
            <w:bottom w:val="none" w:sz="0" w:space="0" w:color="auto"/>
            <w:right w:val="none" w:sz="0" w:space="0" w:color="auto"/>
          </w:divBdr>
        </w:div>
        <w:div w:id="291516524">
          <w:marLeft w:val="1080"/>
          <w:marRight w:val="0"/>
          <w:marTop w:val="100"/>
          <w:marBottom w:val="0"/>
          <w:divBdr>
            <w:top w:val="none" w:sz="0" w:space="0" w:color="auto"/>
            <w:left w:val="none" w:sz="0" w:space="0" w:color="auto"/>
            <w:bottom w:val="none" w:sz="0" w:space="0" w:color="auto"/>
            <w:right w:val="none" w:sz="0" w:space="0" w:color="auto"/>
          </w:divBdr>
        </w:div>
        <w:div w:id="1086657597">
          <w:marLeft w:val="1080"/>
          <w:marRight w:val="0"/>
          <w:marTop w:val="100"/>
          <w:marBottom w:val="0"/>
          <w:divBdr>
            <w:top w:val="none" w:sz="0" w:space="0" w:color="auto"/>
            <w:left w:val="none" w:sz="0" w:space="0" w:color="auto"/>
            <w:bottom w:val="none" w:sz="0" w:space="0" w:color="auto"/>
            <w:right w:val="none" w:sz="0" w:space="0" w:color="auto"/>
          </w:divBdr>
        </w:div>
        <w:div w:id="807167142">
          <w:marLeft w:val="720"/>
          <w:marRight w:val="0"/>
          <w:marTop w:val="200"/>
          <w:marBottom w:val="0"/>
          <w:divBdr>
            <w:top w:val="none" w:sz="0" w:space="0" w:color="auto"/>
            <w:left w:val="none" w:sz="0" w:space="0" w:color="auto"/>
            <w:bottom w:val="none" w:sz="0" w:space="0" w:color="auto"/>
            <w:right w:val="none" w:sz="0" w:space="0" w:color="auto"/>
          </w:divBdr>
        </w:div>
        <w:div w:id="1573588440">
          <w:marLeft w:val="1080"/>
          <w:marRight w:val="0"/>
          <w:marTop w:val="100"/>
          <w:marBottom w:val="0"/>
          <w:divBdr>
            <w:top w:val="none" w:sz="0" w:space="0" w:color="auto"/>
            <w:left w:val="none" w:sz="0" w:space="0" w:color="auto"/>
            <w:bottom w:val="none" w:sz="0" w:space="0" w:color="auto"/>
            <w:right w:val="none" w:sz="0" w:space="0" w:color="auto"/>
          </w:divBdr>
        </w:div>
        <w:div w:id="2129667159">
          <w:marLeft w:val="720"/>
          <w:marRight w:val="0"/>
          <w:marTop w:val="200"/>
          <w:marBottom w:val="0"/>
          <w:divBdr>
            <w:top w:val="none" w:sz="0" w:space="0" w:color="auto"/>
            <w:left w:val="none" w:sz="0" w:space="0" w:color="auto"/>
            <w:bottom w:val="none" w:sz="0" w:space="0" w:color="auto"/>
            <w:right w:val="none" w:sz="0" w:space="0" w:color="auto"/>
          </w:divBdr>
        </w:div>
        <w:div w:id="572932138">
          <w:marLeft w:val="1080"/>
          <w:marRight w:val="0"/>
          <w:marTop w:val="100"/>
          <w:marBottom w:val="0"/>
          <w:divBdr>
            <w:top w:val="none" w:sz="0" w:space="0" w:color="auto"/>
            <w:left w:val="none" w:sz="0" w:space="0" w:color="auto"/>
            <w:bottom w:val="none" w:sz="0" w:space="0" w:color="auto"/>
            <w:right w:val="none" w:sz="0" w:space="0" w:color="auto"/>
          </w:divBdr>
        </w:div>
        <w:div w:id="268007538">
          <w:marLeft w:val="720"/>
          <w:marRight w:val="0"/>
          <w:marTop w:val="200"/>
          <w:marBottom w:val="0"/>
          <w:divBdr>
            <w:top w:val="none" w:sz="0" w:space="0" w:color="auto"/>
            <w:left w:val="none" w:sz="0" w:space="0" w:color="auto"/>
            <w:bottom w:val="none" w:sz="0" w:space="0" w:color="auto"/>
            <w:right w:val="none" w:sz="0" w:space="0" w:color="auto"/>
          </w:divBdr>
        </w:div>
        <w:div w:id="1489127397">
          <w:marLeft w:val="1080"/>
          <w:marRight w:val="0"/>
          <w:marTop w:val="100"/>
          <w:marBottom w:val="0"/>
          <w:divBdr>
            <w:top w:val="none" w:sz="0" w:space="0" w:color="auto"/>
            <w:left w:val="none" w:sz="0" w:space="0" w:color="auto"/>
            <w:bottom w:val="none" w:sz="0" w:space="0" w:color="auto"/>
            <w:right w:val="none" w:sz="0" w:space="0" w:color="auto"/>
          </w:divBdr>
        </w:div>
        <w:div w:id="727611909">
          <w:marLeft w:val="1080"/>
          <w:marRight w:val="0"/>
          <w:marTop w:val="100"/>
          <w:marBottom w:val="0"/>
          <w:divBdr>
            <w:top w:val="none" w:sz="0" w:space="0" w:color="auto"/>
            <w:left w:val="none" w:sz="0" w:space="0" w:color="auto"/>
            <w:bottom w:val="none" w:sz="0" w:space="0" w:color="auto"/>
            <w:right w:val="none" w:sz="0" w:space="0" w:color="auto"/>
          </w:divBdr>
        </w:div>
        <w:div w:id="1159464245">
          <w:marLeft w:val="1080"/>
          <w:marRight w:val="0"/>
          <w:marTop w:val="100"/>
          <w:marBottom w:val="0"/>
          <w:divBdr>
            <w:top w:val="none" w:sz="0" w:space="0" w:color="auto"/>
            <w:left w:val="none" w:sz="0" w:space="0" w:color="auto"/>
            <w:bottom w:val="none" w:sz="0" w:space="0" w:color="auto"/>
            <w:right w:val="none" w:sz="0" w:space="0" w:color="auto"/>
          </w:divBdr>
        </w:div>
        <w:div w:id="1538077639">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ahlborn@suub.uni-bremen.de"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s://www.suub.uni-bremen.de/kontakt-zur-suub/allgemein/23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4063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Tanja</dc:creator>
  <cp:lastModifiedBy>Tanja</cp:lastModifiedBy>
  <cp:revision>9</cp:revision>
  <cp:lastPrinted>2019-02-20T12:33:00Z</cp:lastPrinted>
  <dcterms:created xsi:type="dcterms:W3CDTF">2019-02-20T11:37:00Z</dcterms:created>
  <dcterms:modified xsi:type="dcterms:W3CDTF">2019-02-21T13:03:00Z</dcterms:modified>
</cp:coreProperties>
</file>