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5 -->
  <w:body>
    <w:p>
      <w:pPr>
        <w:pStyle w:val="Heading1"/>
        <w:pageBreakBefore/>
        <w:widowControl/>
        <w:spacing w:before="0" w:line="240" w:lineRule="auto"/>
        <w:ind w:left="0" w:right="0" w:firstLine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Literaturverzeichnis- Präsentation Hören</w:t>
      </w:r>
    </w:p>
    <w:p>
      <w:pPr>
        <w:pStyle w:val="CitaviLiteraturverzeichnis"/>
        <w:widowControl/>
        <w:spacing w:before="0" w:line="240" w:lineRule="auto"/>
        <w:ind w:left="72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Anne C. Uhlig (2014): Ethnographie der Gehörlosen. Kultur - Kommunikation - Gemeinschaft: transcript Verlag.</w:t>
      </w:r>
    </w:p>
    <w:p>
      <w:pPr>
        <w:pStyle w:val="CitaviLiteraturverzeichnis"/>
        <w:widowControl/>
        <w:spacing w:before="0" w:line="240" w:lineRule="auto"/>
        <w:ind w:left="720" w:right="0" w:firstLine="0"/>
        <w:jc w:val="left"/>
        <w:rPr>
          <w:rFonts w:eastAsia="Segoe UI" w:hint="default"/>
          <w:szCs w:val="24"/>
          <w:rtl w:val="0"/>
          <w:lang w:val="de-DE"/>
        </w:rPr>
      </w:pPr>
    </w:p>
    <w:p>
      <w:pPr>
        <w:pStyle w:val="CitaviLiteraturverzeichnis"/>
        <w:widowControl/>
        <w:spacing w:before="0" w:line="240" w:lineRule="auto"/>
        <w:ind w:left="72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Eckart Altenmüller (2018): Vom Neandertal inn die Philharmonie. Warum der Mensch ohne Musik nicht leben kann. Hannover: Springer.</w:t>
      </w:r>
    </w:p>
    <w:p>
      <w:pPr>
        <w:pStyle w:val="CitaviLiteraturverzeichnis"/>
        <w:widowControl/>
        <w:spacing w:before="0" w:line="240" w:lineRule="auto"/>
        <w:ind w:left="720" w:right="0" w:firstLine="0"/>
        <w:jc w:val="left"/>
        <w:rPr>
          <w:rFonts w:eastAsia="Segoe UI" w:hint="default"/>
          <w:szCs w:val="24"/>
          <w:rtl w:val="0"/>
          <w:lang w:val="de-DE"/>
        </w:rPr>
      </w:pPr>
    </w:p>
    <w:p>
      <w:pPr>
        <w:pStyle w:val="CitaviLiteraturverzeichnis"/>
        <w:widowControl/>
        <w:spacing w:before="0" w:line="240" w:lineRule="auto"/>
        <w:ind w:left="72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Georg Eska (2013): Schall und Klang. Wie und was wir hören. Basel: Springer.</w:t>
      </w:r>
    </w:p>
    <w:p>
      <w:pPr>
        <w:pStyle w:val="CitaviLiteraturverzeichnis"/>
        <w:widowControl/>
        <w:spacing w:before="0" w:line="240" w:lineRule="auto"/>
        <w:ind w:left="720" w:right="0" w:firstLine="0"/>
        <w:jc w:val="left"/>
        <w:rPr>
          <w:rFonts w:eastAsia="Segoe UI" w:hint="default"/>
          <w:szCs w:val="24"/>
          <w:rtl w:val="0"/>
          <w:lang w:val="de-DE"/>
        </w:rPr>
      </w:pPr>
    </w:p>
    <w:p>
      <w:pPr>
        <w:pStyle w:val="CitaviLiteraturverzeichnis"/>
        <w:widowControl/>
        <w:spacing w:before="0" w:line="240" w:lineRule="auto"/>
        <w:ind w:left="72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Horst Wenzel (1995): Hören und Sehen Schrift und Bild. Kultur und Gedächtnis im Mittelalter: Verlag C. H. Beck München.</w:t>
      </w:r>
    </w:p>
    <w:p>
      <w:pPr>
        <w:pStyle w:val="CitaviLiteraturverzeichnis"/>
        <w:widowControl/>
        <w:spacing w:before="0" w:line="240" w:lineRule="auto"/>
        <w:ind w:left="720" w:right="0" w:firstLine="0"/>
        <w:jc w:val="left"/>
        <w:rPr>
          <w:rFonts w:eastAsia="Segoe UI" w:hint="default"/>
          <w:szCs w:val="24"/>
          <w:rtl w:val="0"/>
          <w:lang w:val="de-DE"/>
        </w:rPr>
      </w:pPr>
    </w:p>
    <w:p>
      <w:pPr>
        <w:pStyle w:val="CitaviLiteraturverzeichnis"/>
        <w:widowControl/>
        <w:spacing w:before="0" w:line="240" w:lineRule="auto"/>
        <w:ind w:left="72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Jochen Bonz; Katharina Eisch-Angus; Marion Hamm; Almut Sülzle (Hg.) (2017): Ethnografie und Deutung. Gruppensupervision als Methode reflexiven Forschens. Wiesbaden: Springer.</w:t>
      </w:r>
    </w:p>
    <w:p>
      <w:pPr>
        <w:pStyle w:val="CitaviLiteraturverzeichnis"/>
        <w:widowControl/>
        <w:spacing w:before="0" w:line="240" w:lineRule="auto"/>
        <w:ind w:left="720" w:right="0" w:firstLine="0"/>
        <w:jc w:val="left"/>
        <w:rPr>
          <w:rFonts w:eastAsia="Segoe UI" w:hint="default"/>
          <w:szCs w:val="24"/>
          <w:rtl w:val="0"/>
          <w:lang w:val="de-DE"/>
        </w:rPr>
      </w:pPr>
    </w:p>
    <w:p>
      <w:pPr>
        <w:pStyle w:val="CitaviLiteraturverzeichnis"/>
        <w:widowControl/>
        <w:spacing w:before="0" w:line="240" w:lineRule="auto"/>
        <w:ind w:left="72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Jürgen Hellbrück; Wolfgang Ellermeier (2004): Hören. Göttingen: Verlag für Psychologie.</w:t>
      </w:r>
    </w:p>
    <w:p>
      <w:pPr>
        <w:pStyle w:val="CitaviLiteraturverzeichnis"/>
        <w:widowControl/>
        <w:spacing w:before="0" w:line="240" w:lineRule="auto"/>
        <w:ind w:left="720" w:right="0" w:firstLine="0"/>
        <w:jc w:val="left"/>
        <w:rPr>
          <w:rFonts w:eastAsia="Segoe UI" w:hint="default"/>
          <w:szCs w:val="24"/>
          <w:rtl w:val="0"/>
          <w:lang w:val="de-DE"/>
        </w:rPr>
      </w:pPr>
    </w:p>
    <w:p>
      <w:pPr>
        <w:pStyle w:val="CitaviLiteraturverzeichnis"/>
        <w:widowControl/>
        <w:spacing w:before="0" w:line="240" w:lineRule="auto"/>
        <w:ind w:left="72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Steven Feld (1994): From Ethnomusicology to Echo-Muse-Ecology: Reading R. Murray Schafer in the Papua New Guinea Rainforest. In: </w:t>
      </w:r>
      <w:r>
        <w:rPr>
          <w:rFonts w:eastAsia="Segoe UI" w:hint="default"/>
          <w:i/>
          <w:szCs w:val="24"/>
          <w:rtl w:val="0"/>
          <w:lang w:val="de-DE"/>
        </w:rPr>
        <w:t xml:space="preserve">The soundscape Newsletter </w:t>
      </w:r>
      <w:r>
        <w:rPr>
          <w:rFonts w:eastAsia="Segoe UI" w:hint="default"/>
          <w:szCs w:val="24"/>
          <w:rtl w:val="0"/>
          <w:lang w:val="de-DE"/>
        </w:rPr>
        <w:t>(8). Online verfügbar unter https://aeinews.org/aeiarchive/writings/echomuseecology.html.</w:t>
      </w:r>
    </w:p>
    <w:p>
      <w:pPr>
        <w:pStyle w:val="CitaviLiteraturverzeichnis"/>
        <w:widowControl/>
        <w:spacing w:before="0" w:line="240" w:lineRule="auto"/>
        <w:ind w:left="720" w:right="0" w:firstLine="0"/>
        <w:jc w:val="left"/>
        <w:rPr>
          <w:rFonts w:eastAsia="Segoe UI" w:hint="default"/>
          <w:szCs w:val="24"/>
          <w:rtl w:val="0"/>
          <w:lang w:val="de-DE"/>
        </w:rPr>
      </w:pPr>
    </w:p>
    <w:p>
      <w:pPr>
        <w:pStyle w:val="CitaviLiteraturverzeichnis"/>
        <w:widowControl/>
        <w:spacing w:before="0" w:line="240" w:lineRule="auto"/>
        <w:ind w:left="72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Stuttgarter Zeitung (2016): Millionen Deutsche leben zu laut. Tag gegen Lärm. In: </w:t>
      </w:r>
      <w:r>
        <w:rPr>
          <w:rFonts w:eastAsia="Segoe UI" w:hint="default"/>
          <w:i/>
          <w:szCs w:val="24"/>
          <w:rtl w:val="0"/>
          <w:lang w:val="de-DE"/>
        </w:rPr>
        <w:t>Stuttgarter Zeitung</w:t>
      </w:r>
      <w:r>
        <w:rPr>
          <w:rFonts w:eastAsia="Segoe UI" w:hint="default"/>
          <w:szCs w:val="24"/>
          <w:rtl w:val="0"/>
          <w:lang w:val="de-DE"/>
        </w:rPr>
        <w:t>, S. 1. Online verfügbar unter https://www.stuttgarter-zeitung.de/inhalt.tag-gegen-laerm-millionen-deutsche-leben-zu-laut.45c36df2-9afc-46ff-8185-9c4de73503be.html.</w:t>
      </w:r>
    </w:p>
    <w:sectPr>
      <w:type w:val="nextPage"/>
      <w:pgSz w:w="11906" w:h="16838"/>
      <w:pgMar w:top="567" w:right="567" w:bottom="567" w:left="1134" w:header="850" w:footer="850"/>
      <w:pgNumType w:fmt="decimal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charset w:val="01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compressPunctuation"/>
  <w:compat>
    <w:spaceForUL/>
    <w:balanceSingleByteDoubleByteWidth/>
    <w:doNotLeaveBackslashAlon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0" w:right="0" w:firstLine="0"/>
    </w:pPr>
    <w:rPr>
      <w:rFonts w:ascii="Segoe UI" w:hAnsi="Segoe UI" w:cs="Segoe UI"/>
      <w:sz w:val="18"/>
    </w:rPr>
  </w:style>
  <w:style w:type="paragraph" w:styleId="Heading1">
    <w:name w:val="heading 1"/>
    <w:next w:val="Normal"/>
    <w:uiPriority w:val="99"/>
    <w:pPr>
      <w:keepNext/>
      <w:keepLines/>
      <w:widowControl w:val="0"/>
      <w:autoSpaceDE w:val="0"/>
      <w:autoSpaceDN w:val="0"/>
      <w:bidi w:val="0"/>
      <w:adjustRightInd w:val="0"/>
      <w:spacing w:before="0" w:after="720" w:line="0" w:lineRule="atLeast"/>
      <w:ind w:left="0" w:right="0" w:firstLine="0"/>
      <w:outlineLvl w:val="0"/>
    </w:pPr>
    <w:rPr>
      <w:rFonts w:ascii="Segoe UI" w:hAnsi="Segoe UI" w:cs="Segoe UI"/>
      <w:b/>
      <w:i w:val="0"/>
      <w:sz w:val="30"/>
    </w:rPr>
  </w:style>
  <w:style w:type="paragraph" w:styleId="Heading2">
    <w:name w:val="heading 2"/>
    <w:next w:val="Normal"/>
    <w:uiPriority w:val="99"/>
    <w:pPr>
      <w:keepNext/>
      <w:keepLines/>
      <w:widowControl w:val="0"/>
      <w:autoSpaceDE w:val="0"/>
      <w:autoSpaceDN w:val="0"/>
      <w:bidi w:val="0"/>
      <w:adjustRightInd w:val="0"/>
      <w:spacing w:before="720" w:after="480" w:line="0" w:lineRule="atLeast"/>
      <w:ind w:left="0" w:right="0" w:firstLine="0"/>
      <w:outlineLvl w:val="1"/>
    </w:pPr>
    <w:rPr>
      <w:rFonts w:ascii="Segoe UI" w:hAnsi="Segoe UI" w:cs="Segoe UI"/>
      <w:b/>
      <w:i w:val="0"/>
      <w:sz w:val="24"/>
    </w:rPr>
  </w:style>
  <w:style w:type="paragraph" w:styleId="Heading3">
    <w:name w:val="heading 3"/>
    <w:next w:val="Normal"/>
    <w:uiPriority w:val="99"/>
    <w:pPr>
      <w:keepNext/>
      <w:keepLines/>
      <w:widowControl w:val="0"/>
      <w:autoSpaceDE w:val="0"/>
      <w:autoSpaceDN w:val="0"/>
      <w:bidi w:val="0"/>
      <w:adjustRightInd w:val="0"/>
      <w:spacing w:before="480" w:after="120" w:line="0" w:lineRule="atLeast"/>
      <w:ind w:left="0" w:right="0" w:firstLine="0"/>
      <w:outlineLvl w:val="2"/>
    </w:pPr>
    <w:rPr>
      <w:rFonts w:ascii="Segoe UI" w:hAnsi="Segoe UI" w:cs="Segoe UI"/>
      <w:b/>
      <w:i/>
      <w:sz w:val="20"/>
    </w:rPr>
  </w:style>
  <w:style w:type="paragraph" w:styleId="Heading4">
    <w:name w:val="heading 4"/>
    <w:next w:val="Normal"/>
    <w:uiPriority w:val="99"/>
    <w:pPr>
      <w:keepNext/>
      <w:keepLines/>
      <w:widowControl w:val="0"/>
      <w:autoSpaceDE w:val="0"/>
      <w:autoSpaceDN w:val="0"/>
      <w:bidi w:val="0"/>
      <w:adjustRightInd w:val="0"/>
      <w:spacing w:before="480" w:after="0" w:line="0" w:lineRule="atLeast"/>
      <w:ind w:left="0" w:right="0" w:firstLine="0"/>
      <w:outlineLvl w:val="3"/>
    </w:pPr>
    <w:rPr>
      <w:rFonts w:ascii="Segoe UI" w:hAnsi="Segoe UI" w:cs="Segoe UI"/>
      <w:b w:val="0"/>
      <w:i/>
      <w:sz w:val="20"/>
    </w:rPr>
  </w:style>
  <w:style w:type="paragraph" w:styleId="Heading5">
    <w:name w:val="heading 5"/>
    <w:next w:val="Normal"/>
    <w:uiPriority w:val="99"/>
    <w:pPr>
      <w:keepNext/>
      <w:keepLines/>
      <w:widowControl w:val="0"/>
      <w:autoSpaceDE w:val="0"/>
      <w:autoSpaceDN w:val="0"/>
      <w:bidi w:val="0"/>
      <w:adjustRightInd w:val="0"/>
      <w:spacing w:before="480" w:after="0" w:line="0" w:lineRule="atLeast"/>
      <w:ind w:left="0" w:right="0" w:firstLine="0"/>
      <w:outlineLvl w:val="4"/>
    </w:pPr>
    <w:rPr>
      <w:rFonts w:ascii="Segoe UI" w:hAnsi="Segoe UI" w:cs="Segoe UI"/>
      <w:b w:val="0"/>
      <w:i/>
      <w:sz w:val="20"/>
    </w:rPr>
  </w:style>
  <w:style w:type="paragraph" w:styleId="Heading6">
    <w:name w:val="heading 6"/>
    <w:next w:val="Normal"/>
    <w:uiPriority w:val="99"/>
    <w:pPr>
      <w:keepNext/>
      <w:keepLines/>
      <w:widowControl w:val="0"/>
      <w:autoSpaceDE w:val="0"/>
      <w:autoSpaceDN w:val="0"/>
      <w:bidi w:val="0"/>
      <w:adjustRightInd w:val="0"/>
      <w:spacing w:before="480" w:after="0" w:line="0" w:lineRule="atLeast"/>
      <w:ind w:left="0" w:right="0" w:firstLine="0"/>
      <w:outlineLvl w:val="5"/>
    </w:pPr>
    <w:rPr>
      <w:rFonts w:ascii="Segoe UI" w:hAnsi="Segoe UI" w:cs="Segoe UI"/>
      <w:b w:val="0"/>
      <w:i/>
      <w:sz w:val="20"/>
    </w:rPr>
  </w:style>
  <w:style w:type="paragraph" w:styleId="Heading7">
    <w:name w:val="heading 7"/>
    <w:next w:val="Normal"/>
    <w:uiPriority w:val="99"/>
    <w:pPr>
      <w:keepNext/>
      <w:keepLines/>
      <w:widowControl w:val="0"/>
      <w:autoSpaceDE w:val="0"/>
      <w:autoSpaceDN w:val="0"/>
      <w:bidi w:val="0"/>
      <w:adjustRightInd w:val="0"/>
      <w:spacing w:before="480" w:after="0" w:line="0" w:lineRule="atLeast"/>
      <w:ind w:left="0" w:right="0" w:firstLine="0"/>
      <w:outlineLvl w:val="6"/>
    </w:pPr>
    <w:rPr>
      <w:rFonts w:ascii="Segoe UI" w:hAnsi="Segoe UI" w:cs="Segoe UI"/>
      <w:b w:val="0"/>
      <w:i/>
      <w:sz w:val="20"/>
    </w:rPr>
  </w:style>
  <w:style w:type="paragraph" w:styleId="Heading8">
    <w:name w:val="heading 8"/>
    <w:next w:val="Normal"/>
    <w:uiPriority w:val="99"/>
    <w:pPr>
      <w:keepNext/>
      <w:keepLines/>
      <w:widowControl w:val="0"/>
      <w:autoSpaceDE w:val="0"/>
      <w:autoSpaceDN w:val="0"/>
      <w:bidi w:val="0"/>
      <w:adjustRightInd w:val="0"/>
      <w:spacing w:before="480" w:after="0" w:line="0" w:lineRule="atLeast"/>
      <w:ind w:left="0" w:right="0" w:firstLine="0"/>
      <w:outlineLvl w:val="7"/>
    </w:pPr>
    <w:rPr>
      <w:rFonts w:ascii="Segoe UI" w:hAnsi="Segoe UI" w:cs="Segoe UI"/>
      <w:b w:val="0"/>
      <w:i/>
      <w:sz w:val="20"/>
    </w:rPr>
  </w:style>
  <w:style w:type="paragraph" w:styleId="Heading9">
    <w:name w:val="heading 9"/>
    <w:next w:val="Normal"/>
    <w:uiPriority w:val="99"/>
    <w:pPr>
      <w:keepNext/>
      <w:keepLines/>
      <w:widowControl w:val="0"/>
      <w:autoSpaceDE w:val="0"/>
      <w:autoSpaceDN w:val="0"/>
      <w:bidi w:val="0"/>
      <w:adjustRightInd w:val="0"/>
      <w:spacing w:before="480" w:after="0" w:line="0" w:lineRule="atLeast"/>
      <w:ind w:left="0" w:right="0" w:firstLine="0"/>
      <w:outlineLvl w:val="8"/>
    </w:pPr>
    <w:rPr>
      <w:rFonts w:ascii="Segoe UI" w:hAnsi="Segoe UI" w:cs="Segoe UI"/>
      <w:b w:val="0"/>
      <w:i/>
      <w:sz w:val="20"/>
    </w:rPr>
  </w:style>
  <w:style w:type="character" w:default="1" w:styleId="DefaultParagraphFont">
    <w:name w:val="Default Paragraph Font"/>
    <w:uiPriority w:val="99"/>
  </w:style>
  <w:style w:type="paragraph" w:styleId="Subtitle">
    <w:name w:val="Subtitle"/>
    <w:uiPriority w:val="99"/>
    <w:pPr>
      <w:keepNext/>
      <w:keepLines/>
      <w:widowControl w:val="0"/>
      <w:autoSpaceDE w:val="0"/>
      <w:autoSpaceDN w:val="0"/>
      <w:bidi w:val="0"/>
      <w:adjustRightInd w:val="0"/>
      <w:spacing w:before="480" w:after="0" w:line="0" w:lineRule="atLeast"/>
      <w:ind w:left="0" w:right="0" w:firstLine="0"/>
      <w:outlineLvl w:val="9"/>
    </w:pPr>
    <w:rPr>
      <w:rFonts w:ascii="Segoe UI" w:hAnsi="Segoe UI" w:cs="Segoe UI"/>
      <w:b w:val="0"/>
      <w:i w:val="0"/>
      <w:color w:val="15428B"/>
      <w:sz w:val="20"/>
    </w:rPr>
  </w:style>
  <w:style w:type="paragraph" w:styleId="Title">
    <w:name w:val="Title"/>
    <w:uiPriority w:val="99"/>
    <w:pPr>
      <w:keepNext/>
      <w:keepLines/>
      <w:widowControl w:val="0"/>
      <w:autoSpaceDE w:val="0"/>
      <w:autoSpaceDN w:val="0"/>
      <w:bidi w:val="0"/>
      <w:adjustRightInd w:val="0"/>
      <w:spacing w:before="720" w:after="240" w:line="0" w:lineRule="atLeast"/>
      <w:ind w:left="0" w:right="0" w:firstLine="0"/>
      <w:outlineLvl w:val="9"/>
    </w:pPr>
    <w:rPr>
      <w:rFonts w:ascii="Segoe UI" w:hAnsi="Segoe UI" w:cs="Segoe UI"/>
      <w:b/>
      <w:i w:val="0"/>
      <w:color w:val="000000"/>
      <w:sz w:val="20"/>
    </w:rPr>
  </w:style>
  <w:style w:type="paragraph" w:styleId="FootnoteText">
    <w:name w:val="footnote text"/>
    <w:uiPriority w:val="99"/>
    <w:pPr>
      <w:widowControl w:val="0"/>
      <w:autoSpaceDE w:val="0"/>
      <w:autoSpaceDN w:val="0"/>
      <w:bidi w:val="0"/>
      <w:adjustRightInd w:val="0"/>
      <w:spacing w:before="0" w:after="0" w:line="0" w:lineRule="atLeast"/>
      <w:ind w:left="227" w:right="0" w:hanging="227"/>
    </w:pPr>
    <w:rPr>
      <w:rFonts w:ascii="Segoe UI" w:hAnsi="Segoe UI" w:cs="Segoe UI"/>
      <w:sz w:val="16"/>
    </w:rPr>
  </w:style>
  <w:style w:type="paragraph" w:styleId="TOC1">
    <w:name w:val="toc 1"/>
    <w:next w:val="Normal"/>
    <w:uiPriority w:val="99"/>
    <w:pPr>
      <w:keepNext/>
      <w:keepLines/>
      <w:widowControl w:val="0"/>
      <w:autoSpaceDE w:val="0"/>
      <w:autoSpaceDN w:val="0"/>
      <w:bidi w:val="0"/>
      <w:adjustRightInd w:val="0"/>
      <w:spacing w:before="720" w:after="120" w:line="0" w:lineRule="atLeast"/>
      <w:ind w:left="567" w:right="0" w:hanging="567"/>
    </w:pPr>
    <w:rPr>
      <w:rFonts w:ascii="Segoe UI" w:hAnsi="Segoe UI" w:cs="Segoe UI"/>
      <w:b/>
      <w:sz w:val="18"/>
    </w:rPr>
  </w:style>
  <w:style w:type="paragraph" w:styleId="TOC2">
    <w:name w:val="toc 2"/>
    <w:next w:val="Normal"/>
    <w:uiPriority w:val="99"/>
    <w:pPr>
      <w:widowControl w:val="0"/>
      <w:autoSpaceDE w:val="0"/>
      <w:autoSpaceDN w:val="0"/>
      <w:bidi w:val="0"/>
      <w:adjustRightInd w:val="0"/>
      <w:spacing w:before="120" w:after="120" w:line="0" w:lineRule="atLeast"/>
      <w:ind w:left="1134" w:right="0" w:hanging="567"/>
    </w:pPr>
    <w:rPr>
      <w:rFonts w:ascii="Segoe UI" w:hAnsi="Segoe UI" w:cs="Segoe UI"/>
      <w:i/>
      <w:sz w:val="18"/>
    </w:rPr>
  </w:style>
  <w:style w:type="paragraph" w:styleId="TOC3">
    <w:name w:val="toc 3"/>
    <w:next w:val="Normal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1701" w:right="0" w:hanging="567"/>
    </w:pPr>
    <w:rPr>
      <w:rFonts w:ascii="Segoe UI" w:hAnsi="Segoe UI" w:cs="Segoe UI"/>
      <w:sz w:val="18"/>
    </w:rPr>
  </w:style>
  <w:style w:type="paragraph" w:styleId="TOC4">
    <w:name w:val="toc 4"/>
    <w:next w:val="Normal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720" w:right="0" w:firstLine="0"/>
    </w:pPr>
    <w:rPr>
      <w:rFonts w:ascii="Segoe UI" w:hAnsi="Segoe UI" w:cs="Segoe UI"/>
      <w:sz w:val="18"/>
    </w:rPr>
  </w:style>
  <w:style w:type="paragraph" w:styleId="TOC5">
    <w:name w:val="toc 5"/>
    <w:next w:val="Normal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960" w:right="0" w:firstLine="0"/>
    </w:pPr>
    <w:rPr>
      <w:rFonts w:ascii="Segoe UI" w:hAnsi="Segoe UI" w:cs="Segoe UI"/>
      <w:sz w:val="18"/>
    </w:rPr>
  </w:style>
  <w:style w:type="paragraph" w:styleId="TOC6">
    <w:name w:val="toc 6"/>
    <w:next w:val="Normal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1200" w:right="0" w:firstLine="0"/>
    </w:pPr>
    <w:rPr>
      <w:rFonts w:ascii="Segoe UI" w:hAnsi="Segoe UI" w:cs="Segoe UI"/>
      <w:sz w:val="18"/>
    </w:rPr>
  </w:style>
  <w:style w:type="paragraph" w:styleId="TOC7">
    <w:name w:val="toc 7"/>
    <w:next w:val="Normal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1440" w:right="0" w:firstLine="0"/>
    </w:pPr>
    <w:rPr>
      <w:rFonts w:ascii="Segoe UI" w:hAnsi="Segoe UI" w:cs="Segoe UI"/>
      <w:sz w:val="18"/>
    </w:rPr>
  </w:style>
  <w:style w:type="paragraph" w:styleId="TOC8">
    <w:name w:val="toc 8"/>
    <w:next w:val="Normal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1680" w:right="0" w:firstLine="0"/>
    </w:pPr>
    <w:rPr>
      <w:rFonts w:ascii="Segoe UI" w:hAnsi="Segoe UI" w:cs="Segoe UI"/>
      <w:sz w:val="18"/>
    </w:rPr>
  </w:style>
  <w:style w:type="paragraph" w:styleId="TOC9">
    <w:name w:val="toc 9"/>
    <w:next w:val="Normal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1920" w:right="0" w:firstLine="0"/>
    </w:pPr>
    <w:rPr>
      <w:rFonts w:ascii="Segoe UI" w:hAnsi="Segoe UI" w:cs="Segoe UI"/>
      <w:sz w:val="18"/>
    </w:rPr>
  </w:style>
  <w:style w:type="paragraph" w:customStyle="1" w:styleId="CitaviLiteraturverzeichnis">
    <w:name w:val="Citavi Literaturverzeichnis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0" w:right="0" w:firstLine="0"/>
    </w:pPr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